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TRADE AI v10</w:t>
      </w:r>
    </w:p>
    <w:p>
      <w:pPr>
        <w:jc w:val="center"/>
      </w:pPr>
      <w:r>
        <w:rPr>
          <w:sz w:val="20"/>
        </w:rPr>
        <w:t>Run Window: 0700  ·  Date: 2026-05-04  ·  Generated: 08:07:42 ET</w:t>
      </w:r>
    </w:p>
    <w:p>
      <w:pPr>
        <w:pBdr>
          <w:bottom w:val="single" w:sz="4" w:space="1" w:color="1A73E8"/>
        </w:pBdr>
      </w:pPr>
    </w:p>
    <w:p>
      <w:bookmarkStart w:id="1" w:name="toc"/>
      <w:pPr>
        <w:pStyle w:val="Heading2"/>
      </w:pPr>
      <w:r>
        <w:t>Table of Contents</w:t>
      </w:r>
      <w:bookmarkEnd w:id="1"/>
    </w:p>
    <w:p>
      <w:pPr>
        <w:spacing w:after="40"/>
      </w:pPr>
      <w:r>
        <w:t xml:space="preserve">  → </w:t>
      </w:r>
      <w:hyperlink w:anchor="exec_summary">
        <w:r>
          <w:rPr>
            <w:rStyle w:val="Hyperlink"/>
          </w:rPr>
          <w:t xml:space="preserve">Executive Summary</w:t>
        </w:r>
      </w:hyperlink>
    </w:p>
    <w:p>
      <w:pPr>
        <w:spacing w:after="40"/>
      </w:pPr>
      <w:r>
        <w:t xml:space="preserve">  → </w:t>
      </w:r>
      <w:hyperlink w:anchor="delta_section">
        <w:r>
          <w:rPr>
            <w:rStyle w:val="Hyperlink"/>
          </w:rPr>
          <w:t xml:space="preserve">What Changed</w:t>
        </w:r>
      </w:hyperlink>
    </w:p>
    <w:p>
      <w:pPr>
        <w:spacing w:after="40"/>
      </w:pPr>
      <w:r>
        <w:t xml:space="preserve">  → </w:t>
      </w:r>
      <w:hyperlink w:anchor="scorecard">
        <w:r>
          <w:rPr>
            <w:rStyle w:val="Hyperlink"/>
          </w:rPr>
          <w:t xml:space="preserve">Full Scorecard</w:t>
        </w:r>
      </w:hyperlink>
    </w:p>
    <w:p>
      <w:pPr>
        <w:spacing w:after="40"/>
      </w:pPr>
      <w:r>
        <w:t xml:space="preserve">  → </w:t>
      </w:r>
      <w:hyperlink w:anchor="go_picks">
        <w:r>
          <w:rPr>
            <w:rStyle w:val="Hyperlink"/>
          </w:rPr>
          <w:t xml:space="preserve">GO-Tier Picks</w:t>
        </w:r>
      </w:hyperlink>
    </w:p>
    <w:p>
      <w:pPr>
        <w:spacing w:after="40"/>
      </w:pPr>
      <w:r>
        <w:t xml:space="preserve">  → </w:t>
      </w:r>
      <w:hyperlink w:anchor="cat_tape">
        <w:r>
          <w:rPr>
            <w:rStyle w:val="Hyperlink"/>
          </w:rPr>
          <w:t xml:space="preserve">Catalyst Tape</w:t>
        </w:r>
      </w:hyperlink>
    </w:p>
    <w:p>
      <w:pPr>
        <w:spacing w:after="40"/>
      </w:pPr>
      <w:r>
        <w:t xml:space="preserve">  → </w:t>
      </w:r>
      <w:hyperlink w:anchor="tos_export">
        <w:r>
          <w:rPr>
            <w:rStyle w:val="Hyperlink"/>
          </w:rPr>
          <w:t xml:space="preserve">ThinkorSwim Export</w:t>
        </w:r>
      </w:hyperlink>
    </w:p>
    <w:p>
      <w:bookmarkStart w:id="2" w:name="exec_summary"/>
      <w:pPr>
        <w:pStyle w:val="Heading2"/>
      </w:pPr>
      <w:r>
        <w:t>Executive Summary</w:t>
      </w:r>
      <w:bookmarkEnd w:id="2"/>
    </w:p>
    <w:tbl>
      <w:tblPr>
        <w:tblStyle w:val="TableGrid"/>
        <w:tblW w:type="auto" w:w="0"/>
        <w:tblLook w:firstColumn="1" w:firstRow="1" w:lastColumn="0" w:lastRow="0" w:noHBand="0" w:noVBand="1" w:val="04A0"/>
      </w:tblPr>
      <w:tblGrid>
        <w:gridCol w:w="5040"/>
        <w:gridCol w:w="5040"/>
      </w:tblGrid>
      <w:tr>
        <w:tc>
          <w:tcPr>
            <w:tcW w:type="dxa" w:w="5040"/>
            <w:shd w:val="clear" w:color="auto" w:fill="2C2C44"/>
          </w:tcPr>
          <w:p>
            <w:r>
              <w:rPr>
                <w:b/>
              </w:rPr>
              <w:t>Metric</w:t>
            </w:r>
          </w:p>
        </w:tc>
        <w:tc>
          <w:tcPr>
            <w:tcW w:type="dxa" w:w="5040"/>
            <w:shd w:val="clear" w:color="auto" w:fill="2C2C44"/>
          </w:tcPr>
          <w:p>
            <w:r>
              <w:rPr>
                <w:b/>
              </w:rPr>
              <w:t>Value</w:t>
            </w:r>
          </w:p>
        </w:tc>
      </w:tr>
      <w:tr>
        <w:tc>
          <w:tcPr>
            <w:tcW w:type="dxa" w:w="5040"/>
          </w:tcPr>
          <w:p>
            <w:r>
              <w:t>Total Tickers Scanned</w:t>
            </w:r>
          </w:p>
        </w:tc>
        <w:tc>
          <w:tcPr>
            <w:tcW w:type="dxa" w:w="5040"/>
          </w:tcPr>
          <w:p>
            <w:r>
              <w:t>10</w:t>
            </w:r>
          </w:p>
        </w:tc>
      </w:tr>
      <w:tr>
        <w:tc>
          <w:tcPr>
            <w:tcW w:type="dxa" w:w="5040"/>
          </w:tcPr>
          <w:p>
            <w:r>
              <w:t>GO-Tier (≥40)</w:t>
            </w:r>
          </w:p>
        </w:tc>
        <w:tc>
          <w:tcPr>
            <w:tcW w:type="dxa" w:w="5040"/>
          </w:tcPr>
          <w:p>
            <w:r>
              <w:t>1</w:t>
            </w:r>
          </w:p>
        </w:tc>
      </w:tr>
      <w:tr>
        <w:tc>
          <w:tcPr>
            <w:tcW w:type="dxa" w:w="5040"/>
          </w:tcPr>
          <w:p>
            <w:r>
              <w:t>WAIT-Tier (30–39)</w:t>
            </w:r>
          </w:p>
        </w:tc>
        <w:tc>
          <w:tcPr>
            <w:tcW w:type="dxa" w:w="5040"/>
          </w:tcPr>
          <w:p>
            <w:r>
              <w:t>4</w:t>
            </w:r>
          </w:p>
        </w:tc>
      </w:tr>
      <w:tr>
        <w:tc>
          <w:tcPr>
            <w:tcW w:type="dxa" w:w="5040"/>
          </w:tcPr>
          <w:p>
            <w:r>
              <w:t>New Tickers This Run</w:t>
            </w:r>
          </w:p>
        </w:tc>
        <w:tc>
          <w:tcPr>
            <w:tcW w:type="dxa" w:w="5040"/>
          </w:tcPr>
          <w:p>
            <w:r>
              <w:t>0</w:t>
            </w:r>
          </w:p>
        </w:tc>
      </w:tr>
      <w:tr>
        <w:tc>
          <w:tcPr>
            <w:tcW w:type="dxa" w:w="5040"/>
          </w:tcPr>
          <w:p>
            <w:r>
              <w:t>Delta Events</w:t>
            </w:r>
          </w:p>
        </w:tc>
        <w:tc>
          <w:tcPr>
            <w:tcW w:type="dxa" w:w="5040"/>
          </w:tcPr>
          <w:p>
            <w:r>
              <w:t>2</w:t>
            </w:r>
          </w:p>
        </w:tc>
      </w:tr>
      <w:tr>
        <w:tc>
          <w:tcPr>
            <w:tcW w:type="dxa" w:w="5040"/>
          </w:tcPr>
          <w:p>
            <w:r>
              <w:t>Top Score</w:t>
            </w:r>
          </w:p>
        </w:tc>
        <w:tc>
          <w:tcPr>
            <w:tcW w:type="dxa" w:w="5040"/>
          </w:tcPr>
          <w:p>
            <w:r>
              <w:t>44 (RLYB)</w:t>
            </w:r>
          </w:p>
        </w:tc>
      </w:tr>
    </w:tbl>
    <w:p>
      <w:bookmarkStart w:id="3" w:name="delta_section"/>
      <w:pPr>
        <w:pStyle w:val="Heading2"/>
      </w:pPr>
      <w:r>
        <w:t>What Changed Since Last Run</w:t>
      </w:r>
      <w:bookmarkEnd w:id="3"/>
    </w:p>
    <w:p>
      <w:pPr>
        <w:spacing w:after="20"/>
      </w:pPr>
      <w:r>
        <w:rPr>
          <w:sz w:val="19"/>
        </w:rPr>
        <w:t>📈 UP   ATNM  —  20 → 28 (+8)</w:t>
      </w:r>
    </w:p>
    <w:p>
      <w:pPr>
        <w:spacing w:after="20"/>
      </w:pPr>
      <w:r>
        <w:rPr>
          <w:sz w:val="19"/>
        </w:rPr>
        <w:t>📉 DOWN ADVB  —  30 → 0 (-30)</w:t>
      </w:r>
    </w:p>
    <w:p>
      <w:bookmarkStart w:id="4" w:name="scorecard"/>
      <w:pPr>
        <w:pStyle w:val="Heading2"/>
      </w:pPr>
      <w:r>
        <w:t>Full Scorecard</w:t>
      </w:r>
      <w:bookmarkEnd w:id="4"/>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val="clear" w:color="auto" w:fill="2C2C44"/>
          </w:tcPr>
          <w:p>
            <w:r>
              <w:rPr>
                <w:b/>
                <w:color w:val="1A73E8"/>
              </w:rPr>
              <w:t>Symbol</w:t>
            </w:r>
          </w:p>
        </w:tc>
        <w:tc>
          <w:tcPr>
            <w:tcW w:type="dxa" w:w="1008"/>
            <w:shd w:val="clear" w:color="auto" w:fill="2C2C44"/>
          </w:tcPr>
          <w:p>
            <w:r>
              <w:rPr>
                <w:b/>
                <w:color w:val="1A73E8"/>
              </w:rPr>
              <w:t>Score</w:t>
            </w:r>
          </w:p>
        </w:tc>
        <w:tc>
          <w:tcPr>
            <w:tcW w:type="dxa" w:w="1008"/>
            <w:shd w:val="clear" w:color="auto" w:fill="2C2C44"/>
          </w:tcPr>
          <w:p>
            <w:r>
              <w:rPr>
                <w:b/>
                <w:color w:val="1A73E8"/>
              </w:rPr>
              <w:t>Grade</w:t>
            </w:r>
          </w:p>
        </w:tc>
        <w:tc>
          <w:tcPr>
            <w:tcW w:type="dxa" w:w="1008"/>
            <w:shd w:val="clear" w:color="auto" w:fill="2C2C44"/>
          </w:tcPr>
          <w:p>
            <w:r>
              <w:rPr>
                <w:b/>
                <w:color w:val="1A73E8"/>
              </w:rPr>
              <w:t>Decision</w:t>
            </w:r>
          </w:p>
        </w:tc>
        <w:tc>
          <w:tcPr>
            <w:tcW w:type="dxa" w:w="1008"/>
            <w:shd w:val="clear" w:color="auto" w:fill="2C2C44"/>
          </w:tcPr>
          <w:p>
            <w:r>
              <w:rPr>
                <w:b/>
                <w:color w:val="1A73E8"/>
              </w:rPr>
              <w:t>RVOL</w:t>
            </w:r>
          </w:p>
        </w:tc>
        <w:tc>
          <w:tcPr>
            <w:tcW w:type="dxa" w:w="1008"/>
            <w:shd w:val="clear" w:color="auto" w:fill="2C2C44"/>
          </w:tcPr>
          <w:p>
            <w:r>
              <w:rPr>
                <w:b/>
                <w:color w:val="1A73E8"/>
              </w:rPr>
              <w:t>Price</w:t>
            </w:r>
          </w:p>
        </w:tc>
        <w:tc>
          <w:tcPr>
            <w:tcW w:type="dxa" w:w="1008"/>
            <w:shd w:val="clear" w:color="auto" w:fill="2C2C44"/>
          </w:tcPr>
          <w:p>
            <w:r>
              <w:rPr>
                <w:b/>
                <w:color w:val="1A73E8"/>
              </w:rPr>
              <w:t>Chg%</w:t>
            </w:r>
          </w:p>
        </w:tc>
        <w:tc>
          <w:tcPr>
            <w:tcW w:type="dxa" w:w="1008"/>
            <w:shd w:val="clear" w:color="auto" w:fill="2C2C44"/>
          </w:tcPr>
          <w:p>
            <w:r>
              <w:rPr>
                <w:b/>
                <w:color w:val="1A73E8"/>
              </w:rPr>
              <w:t>Gap%</w:t>
            </w:r>
          </w:p>
        </w:tc>
        <w:tc>
          <w:tcPr>
            <w:tcW w:type="dxa" w:w="1008"/>
            <w:shd w:val="clear" w:color="auto" w:fill="2C2C44"/>
          </w:tcPr>
          <w:p>
            <w:r>
              <w:rPr>
                <w:b/>
                <w:color w:val="1A73E8"/>
              </w:rPr>
              <w:t>Float M</w:t>
            </w:r>
          </w:p>
        </w:tc>
        <w:tc>
          <w:tcPr>
            <w:tcW w:type="dxa" w:w="1008"/>
            <w:shd w:val="clear" w:color="auto" w:fill="2C2C44"/>
          </w:tcPr>
          <w:p>
            <w:r>
              <w:rPr>
                <w:b/>
                <w:color w:val="1A73E8"/>
              </w:rPr>
              <w:t>Catalyst</w:t>
            </w:r>
          </w:p>
        </w:tc>
      </w:tr>
      <w:tr>
        <w:tc>
          <w:tcPr>
            <w:tcW w:type="dxa" w:w="1008"/>
          </w:tcPr>
          <w:p>
            <w:r>
              <w:rPr>
                <w:sz w:val="17"/>
              </w:rPr>
              <w:t>RLYB</w:t>
            </w:r>
          </w:p>
        </w:tc>
        <w:tc>
          <w:tcPr>
            <w:tcW w:type="dxa" w:w="1008"/>
          </w:tcPr>
          <w:p>
            <w:r>
              <w:rPr>
                <w:sz w:val="17"/>
              </w:rPr>
              <w:t>44</w:t>
            </w:r>
          </w:p>
        </w:tc>
        <w:tc>
          <w:tcPr>
            <w:tcW w:type="dxa" w:w="1008"/>
          </w:tcPr>
          <w:p>
            <w:r>
              <w:rPr>
                <w:sz w:val="17"/>
              </w:rPr>
              <w:t>A</w:t>
            </w:r>
          </w:p>
        </w:tc>
        <w:tc>
          <w:tcPr>
            <w:tcW w:type="dxa" w:w="1008"/>
          </w:tcPr>
          <w:p>
            <w:r>
              <w:rPr>
                <w:b/>
                <w:color w:val="0F9D58"/>
                <w:sz w:val="17"/>
              </w:rPr>
              <w:t>GO</w:t>
            </w:r>
          </w:p>
        </w:tc>
        <w:tc>
          <w:tcPr>
            <w:tcW w:type="dxa" w:w="1008"/>
          </w:tcPr>
          <w:p>
            <w:r>
              <w:rPr>
                <w:sz w:val="17"/>
              </w:rPr>
              <w:t>4.4x</w:t>
            </w:r>
          </w:p>
        </w:tc>
        <w:tc>
          <w:tcPr>
            <w:tcW w:type="dxa" w:w="1008"/>
          </w:tcPr>
          <w:p>
            <w:r>
              <w:rPr>
                <w:sz w:val="17"/>
              </w:rPr>
              <w:t>$13.56</w:t>
            </w:r>
          </w:p>
        </w:tc>
        <w:tc>
          <w:tcPr>
            <w:tcW w:type="dxa" w:w="1008"/>
          </w:tcPr>
          <w:p>
            <w:r>
              <w:rPr>
                <w:sz w:val="17"/>
              </w:rPr>
              <w:t>+44.1%</w:t>
            </w:r>
          </w:p>
        </w:tc>
        <w:tc>
          <w:tcPr>
            <w:tcW w:type="dxa" w:w="1008"/>
          </w:tcPr>
          <w:p>
            <w:r>
              <w:rPr>
                <w:sz w:val="17"/>
              </w:rPr>
              <w:t>+14.8%</w:t>
            </w:r>
          </w:p>
        </w:tc>
        <w:tc>
          <w:tcPr>
            <w:tcW w:type="dxa" w:w="1008"/>
          </w:tcPr>
          <w:p>
            <w:r>
              <w:rPr>
                <w:sz w:val="17"/>
              </w:rPr>
              <w:t>3.2M</w:t>
            </w:r>
          </w:p>
        </w:tc>
        <w:tc>
          <w:tcPr>
            <w:tcW w:type="dxa" w:w="1008"/>
          </w:tcPr>
          <w:p>
            <w:r>
              <w:rPr>
                <w:sz w:val="17"/>
              </w:rPr>
              <w:t>Rallybio to acquire Candid Therapeutics [Yahoo]</w:t>
            </w:r>
          </w:p>
        </w:tc>
      </w:tr>
      <w:tr>
        <w:tc>
          <w:tcPr>
            <w:tcW w:type="dxa" w:w="1008"/>
          </w:tcPr>
          <w:p>
            <w:r>
              <w:rPr>
                <w:sz w:val="17"/>
              </w:rPr>
              <w:t>BCHT</w:t>
            </w:r>
          </w:p>
        </w:tc>
        <w:tc>
          <w:tcPr>
            <w:tcW w:type="dxa" w:w="1008"/>
          </w:tcPr>
          <w:p>
            <w:r>
              <w:rPr>
                <w:sz w:val="17"/>
              </w:rPr>
              <w:t>36</w:t>
            </w:r>
          </w:p>
        </w:tc>
        <w:tc>
          <w:tcPr>
            <w:tcW w:type="dxa" w:w="1008"/>
          </w:tcPr>
          <w:p>
            <w:r>
              <w:rPr>
                <w:sz w:val="17"/>
              </w:rPr>
              <w:t>B</w:t>
            </w:r>
          </w:p>
        </w:tc>
        <w:tc>
          <w:tcPr>
            <w:tcW w:type="dxa" w:w="1008"/>
          </w:tcPr>
          <w:p>
            <w:r>
              <w:rPr>
                <w:b/>
                <w:color w:val="F4B400"/>
                <w:sz w:val="17"/>
              </w:rPr>
              <w:t>WAIT</w:t>
            </w:r>
          </w:p>
        </w:tc>
        <w:tc>
          <w:tcPr>
            <w:tcW w:type="dxa" w:w="1008"/>
          </w:tcPr>
          <w:p>
            <w:r>
              <w:rPr>
                <w:sz w:val="17"/>
              </w:rPr>
              <w:t>9.7x</w:t>
            </w:r>
          </w:p>
        </w:tc>
        <w:tc>
          <w:tcPr>
            <w:tcW w:type="dxa" w:w="1008"/>
          </w:tcPr>
          <w:p>
            <w:r>
              <w:rPr>
                <w:sz w:val="17"/>
              </w:rPr>
              <w:t>$1.87</w:t>
            </w:r>
          </w:p>
        </w:tc>
        <w:tc>
          <w:tcPr>
            <w:tcW w:type="dxa" w:w="1008"/>
          </w:tcPr>
          <w:p>
            <w:r>
              <w:rPr>
                <w:sz w:val="17"/>
              </w:rPr>
              <w:t>+17.5%</w:t>
            </w:r>
          </w:p>
        </w:tc>
        <w:tc>
          <w:tcPr>
            <w:tcW w:type="dxa" w:w="1008"/>
          </w:tcPr>
          <w:p>
            <w:r>
              <w:rPr>
                <w:sz w:val="17"/>
              </w:rPr>
              <w:t>+11.3%</w:t>
            </w:r>
          </w:p>
        </w:tc>
        <w:tc>
          <w:tcPr>
            <w:tcW w:type="dxa" w:w="1008"/>
          </w:tcPr>
          <w:p>
            <w:r>
              <w:rPr>
                <w:sz w:val="17"/>
              </w:rPr>
              <w:t>19.7M</w:t>
            </w:r>
          </w:p>
        </w:tc>
        <w:tc>
          <w:tcPr>
            <w:tcW w:type="dxa" w:w="1008"/>
          </w:tcPr>
          <w:p>
            <w:r>
              <w:rPr>
                <w:sz w:val="17"/>
              </w:rPr>
              <w:t>—</w:t>
            </w:r>
          </w:p>
        </w:tc>
      </w:tr>
      <w:tr>
        <w:tc>
          <w:tcPr>
            <w:tcW w:type="dxa" w:w="1008"/>
          </w:tcPr>
          <w:p>
            <w:r>
              <w:rPr>
                <w:sz w:val="17"/>
              </w:rPr>
              <w:t>FTCI</w:t>
            </w:r>
          </w:p>
        </w:tc>
        <w:tc>
          <w:tcPr>
            <w:tcW w:type="dxa" w:w="1008"/>
          </w:tcPr>
          <w:p>
            <w:r>
              <w:rPr>
                <w:sz w:val="17"/>
              </w:rPr>
              <w:t>34</w:t>
            </w:r>
          </w:p>
        </w:tc>
        <w:tc>
          <w:tcPr>
            <w:tcW w:type="dxa" w:w="1008"/>
          </w:tcPr>
          <w:p>
            <w:r>
              <w:rPr>
                <w:sz w:val="17"/>
              </w:rPr>
              <w:t>B</w:t>
            </w:r>
          </w:p>
        </w:tc>
        <w:tc>
          <w:tcPr>
            <w:tcW w:type="dxa" w:w="1008"/>
          </w:tcPr>
          <w:p>
            <w:r>
              <w:rPr>
                <w:b/>
                <w:color w:val="F4B400"/>
                <w:sz w:val="17"/>
              </w:rPr>
              <w:t>WAIT</w:t>
            </w:r>
          </w:p>
        </w:tc>
        <w:tc>
          <w:tcPr>
            <w:tcW w:type="dxa" w:w="1008"/>
          </w:tcPr>
          <w:p>
            <w:r>
              <w:rPr>
                <w:sz w:val="17"/>
              </w:rPr>
              <w:t>9.0x</w:t>
            </w:r>
          </w:p>
        </w:tc>
        <w:tc>
          <w:tcPr>
            <w:tcW w:type="dxa" w:w="1008"/>
          </w:tcPr>
          <w:p>
            <w:r>
              <w:rPr>
                <w:sz w:val="17"/>
              </w:rPr>
              <w:t>$4.90</w:t>
            </w:r>
          </w:p>
        </w:tc>
        <w:tc>
          <w:tcPr>
            <w:tcW w:type="dxa" w:w="1008"/>
          </w:tcPr>
          <w:p>
            <w:r>
              <w:rPr>
                <w:sz w:val="17"/>
              </w:rPr>
              <w:t>-0.6%</w:t>
            </w:r>
          </w:p>
        </w:tc>
        <w:tc>
          <w:tcPr>
            <w:tcW w:type="dxa" w:w="1008"/>
          </w:tcPr>
          <w:p>
            <w:r>
              <w:rPr>
                <w:sz w:val="17"/>
              </w:rPr>
              <w:t>+179.9%</w:t>
            </w:r>
          </w:p>
        </w:tc>
        <w:tc>
          <w:tcPr>
            <w:tcW w:type="dxa" w:w="1008"/>
          </w:tcPr>
          <w:p>
            <w:r>
              <w:rPr>
                <w:sz w:val="17"/>
              </w:rPr>
              <w:t>11.9M</w:t>
            </w:r>
          </w:p>
        </w:tc>
        <w:tc>
          <w:tcPr>
            <w:tcW w:type="dxa" w:w="1008"/>
          </w:tcPr>
          <w:p>
            <w:r>
              <w:rPr>
                <w:sz w:val="17"/>
              </w:rPr>
              <w:t>—</w:t>
            </w:r>
          </w:p>
        </w:tc>
      </w:tr>
      <w:tr>
        <w:tc>
          <w:tcPr>
            <w:tcW w:type="dxa" w:w="1008"/>
          </w:tcPr>
          <w:p>
            <w:r>
              <w:rPr>
                <w:sz w:val="17"/>
              </w:rPr>
              <w:t>MRAM</w:t>
            </w:r>
          </w:p>
        </w:tc>
        <w:tc>
          <w:tcPr>
            <w:tcW w:type="dxa" w:w="1008"/>
          </w:tcPr>
          <w:p>
            <w:r>
              <w:rPr>
                <w:sz w:val="17"/>
              </w:rPr>
              <w:t>33</w:t>
            </w:r>
          </w:p>
        </w:tc>
        <w:tc>
          <w:tcPr>
            <w:tcW w:type="dxa" w:w="1008"/>
          </w:tcPr>
          <w:p>
            <w:r>
              <w:rPr>
                <w:sz w:val="17"/>
              </w:rPr>
              <w:t>B</w:t>
            </w:r>
          </w:p>
        </w:tc>
        <w:tc>
          <w:tcPr>
            <w:tcW w:type="dxa" w:w="1008"/>
          </w:tcPr>
          <w:p>
            <w:r>
              <w:rPr>
                <w:b/>
                <w:color w:val="F4B400"/>
                <w:sz w:val="17"/>
              </w:rPr>
              <w:t>WAIT</w:t>
            </w:r>
          </w:p>
        </w:tc>
        <w:tc>
          <w:tcPr>
            <w:tcW w:type="dxa" w:w="1008"/>
          </w:tcPr>
          <w:p>
            <w:r>
              <w:rPr>
                <w:sz w:val="17"/>
              </w:rPr>
              <w:t>8.0x</w:t>
            </w:r>
          </w:p>
        </w:tc>
        <w:tc>
          <w:tcPr>
            <w:tcW w:type="dxa" w:w="1008"/>
          </w:tcPr>
          <w:p>
            <w:r>
              <w:rPr>
                <w:sz w:val="17"/>
              </w:rPr>
              <w:t>$22.00</w:t>
            </w:r>
          </w:p>
        </w:tc>
        <w:tc>
          <w:tcPr>
            <w:tcW w:type="dxa" w:w="1008"/>
          </w:tcPr>
          <w:p>
            <w:r>
              <w:rPr>
                <w:sz w:val="17"/>
              </w:rPr>
              <w:t>+2.4%</w:t>
            </w:r>
          </w:p>
        </w:tc>
        <w:tc>
          <w:tcPr>
            <w:tcW w:type="dxa" w:w="1008"/>
          </w:tcPr>
          <w:p>
            <w:r>
              <w:rPr>
                <w:sz w:val="17"/>
              </w:rPr>
              <w:t>+12.4%</w:t>
            </w:r>
          </w:p>
        </w:tc>
        <w:tc>
          <w:tcPr>
            <w:tcW w:type="dxa" w:w="1008"/>
          </w:tcPr>
          <w:p>
            <w:r>
              <w:rPr>
                <w:sz w:val="17"/>
              </w:rPr>
              <w:t>18.8M</w:t>
            </w:r>
          </w:p>
        </w:tc>
        <w:tc>
          <w:tcPr>
            <w:tcW w:type="dxa" w:w="1008"/>
          </w:tcPr>
          <w:p>
            <w:r>
              <w:rPr>
                <w:sz w:val="17"/>
              </w:rPr>
              <w:t>Everspin Executes $40M Agreement for Mil-Aero MRAM</w:t>
            </w:r>
          </w:p>
        </w:tc>
      </w:tr>
      <w:tr>
        <w:tc>
          <w:tcPr>
            <w:tcW w:type="dxa" w:w="1008"/>
          </w:tcPr>
          <w:p>
            <w:r>
              <w:rPr>
                <w:sz w:val="17"/>
              </w:rPr>
              <w:t>FGL</w:t>
            </w:r>
          </w:p>
        </w:tc>
        <w:tc>
          <w:tcPr>
            <w:tcW w:type="dxa" w:w="1008"/>
          </w:tcPr>
          <w:p>
            <w:r>
              <w:rPr>
                <w:sz w:val="17"/>
              </w:rPr>
              <w:t>31</w:t>
            </w:r>
          </w:p>
        </w:tc>
        <w:tc>
          <w:tcPr>
            <w:tcW w:type="dxa" w:w="1008"/>
          </w:tcPr>
          <w:p>
            <w:r>
              <w:rPr>
                <w:sz w:val="17"/>
              </w:rPr>
              <w:t>B</w:t>
            </w:r>
          </w:p>
        </w:tc>
        <w:tc>
          <w:tcPr>
            <w:tcW w:type="dxa" w:w="1008"/>
          </w:tcPr>
          <w:p>
            <w:r>
              <w:rPr>
                <w:b/>
                <w:color w:val="F4B400"/>
                <w:sz w:val="17"/>
              </w:rPr>
              <w:t>WAIT</w:t>
            </w:r>
          </w:p>
        </w:tc>
        <w:tc>
          <w:tcPr>
            <w:tcW w:type="dxa" w:w="1008"/>
          </w:tcPr>
          <w:p>
            <w:r>
              <w:rPr>
                <w:sz w:val="17"/>
              </w:rPr>
              <w:t>14.8x</w:t>
            </w:r>
          </w:p>
        </w:tc>
        <w:tc>
          <w:tcPr>
            <w:tcW w:type="dxa" w:w="1008"/>
          </w:tcPr>
          <w:p>
            <w:r>
              <w:rPr>
                <w:sz w:val="17"/>
              </w:rPr>
              <w:t>$2.08</w:t>
            </w:r>
          </w:p>
        </w:tc>
        <w:tc>
          <w:tcPr>
            <w:tcW w:type="dxa" w:w="1008"/>
          </w:tcPr>
          <w:p>
            <w:r>
              <w:rPr>
                <w:sz w:val="17"/>
              </w:rPr>
              <w:t>+2.0%</w:t>
            </w:r>
          </w:p>
        </w:tc>
        <w:tc>
          <w:tcPr>
            <w:tcW w:type="dxa" w:w="1008"/>
          </w:tcPr>
          <w:p>
            <w:r>
              <w:rPr>
                <w:sz w:val="17"/>
              </w:rPr>
              <w:t>+7.8%</w:t>
            </w:r>
          </w:p>
        </w:tc>
        <w:tc>
          <w:tcPr>
            <w:tcW w:type="dxa" w:w="1008"/>
          </w:tcPr>
          <w:p>
            <w:r>
              <w:rPr>
                <w:sz w:val="17"/>
              </w:rPr>
              <w:t>10.6M</w:t>
            </w:r>
          </w:p>
        </w:tc>
        <w:tc>
          <w:tcPr>
            <w:tcW w:type="dxa" w:w="1008"/>
          </w:tcPr>
          <w:p>
            <w:r>
              <w:rPr>
                <w:sz w:val="17"/>
              </w:rPr>
              <w:t>—</w:t>
            </w:r>
          </w:p>
        </w:tc>
      </w:tr>
      <w:tr>
        <w:tc>
          <w:tcPr>
            <w:tcW w:type="dxa" w:w="1008"/>
          </w:tcPr>
          <w:p>
            <w:r>
              <w:rPr>
                <w:sz w:val="17"/>
              </w:rPr>
              <w:t>ATNM</w:t>
            </w:r>
          </w:p>
        </w:tc>
        <w:tc>
          <w:tcPr>
            <w:tcW w:type="dxa" w:w="1008"/>
          </w:tcPr>
          <w:p>
            <w:r>
              <w:rPr>
                <w:sz w:val="17"/>
              </w:rPr>
              <w:t>28</w:t>
            </w:r>
          </w:p>
        </w:tc>
        <w:tc>
          <w:tcPr>
            <w:tcW w:type="dxa" w:w="1008"/>
          </w:tcPr>
          <w:p>
            <w:r>
              <w:rPr>
                <w:sz w:val="17"/>
              </w:rPr>
              <w:t>C</w:t>
            </w:r>
          </w:p>
        </w:tc>
        <w:tc>
          <w:tcPr>
            <w:tcW w:type="dxa" w:w="1008"/>
          </w:tcPr>
          <w:p>
            <w:r>
              <w:rPr>
                <w:b/>
                <w:color w:val="DB4437"/>
                <w:sz w:val="17"/>
              </w:rPr>
              <w:t>AVOID</w:t>
            </w:r>
          </w:p>
        </w:tc>
        <w:tc>
          <w:tcPr>
            <w:tcW w:type="dxa" w:w="1008"/>
          </w:tcPr>
          <w:p>
            <w:r>
              <w:rPr>
                <w:sz w:val="17"/>
              </w:rPr>
              <w:t>8.2x</w:t>
            </w:r>
          </w:p>
        </w:tc>
        <w:tc>
          <w:tcPr>
            <w:tcW w:type="dxa" w:w="1008"/>
          </w:tcPr>
          <w:p>
            <w:r>
              <w:rPr>
                <w:sz w:val="17"/>
              </w:rPr>
              <w:t>$1.13</w:t>
            </w:r>
          </w:p>
        </w:tc>
        <w:tc>
          <w:tcPr>
            <w:tcW w:type="dxa" w:w="1008"/>
          </w:tcPr>
          <w:p>
            <w:r>
              <w:rPr>
                <w:sz w:val="17"/>
              </w:rPr>
              <w:t>+0.0%</w:t>
            </w:r>
          </w:p>
        </w:tc>
        <w:tc>
          <w:tcPr>
            <w:tcW w:type="dxa" w:w="1008"/>
          </w:tcPr>
          <w:p>
            <w:r>
              <w:rPr>
                <w:sz w:val="17"/>
              </w:rPr>
              <w:t>+28.3%</w:t>
            </w:r>
          </w:p>
        </w:tc>
        <w:tc>
          <w:tcPr>
            <w:tcW w:type="dxa" w:w="1008"/>
          </w:tcPr>
          <w:p>
            <w:r>
              <w:rPr>
                <w:sz w:val="17"/>
              </w:rPr>
              <w:t>30.4M</w:t>
            </w:r>
          </w:p>
        </w:tc>
        <w:tc>
          <w:tcPr>
            <w:tcW w:type="dxa" w:w="1008"/>
          </w:tcPr>
          <w:p>
            <w:r>
              <w:rPr>
                <w:sz w:val="17"/>
              </w:rPr>
              <w:t>—</w:t>
            </w:r>
          </w:p>
        </w:tc>
      </w:tr>
      <w:tr>
        <w:tc>
          <w:tcPr>
            <w:tcW w:type="dxa" w:w="1008"/>
          </w:tcPr>
          <w:p>
            <w:r>
              <w:rPr>
                <w:sz w:val="17"/>
              </w:rPr>
              <w:t>IQST</w:t>
            </w:r>
          </w:p>
        </w:tc>
        <w:tc>
          <w:tcPr>
            <w:tcW w:type="dxa" w:w="1008"/>
          </w:tcPr>
          <w:p>
            <w:r>
              <w:rPr>
                <w:sz w:val="17"/>
              </w:rPr>
              <w:t>27</w:t>
            </w:r>
          </w:p>
        </w:tc>
        <w:tc>
          <w:tcPr>
            <w:tcW w:type="dxa" w:w="1008"/>
          </w:tcPr>
          <w:p>
            <w:r>
              <w:rPr>
                <w:sz w:val="17"/>
              </w:rPr>
              <w:t>C</w:t>
            </w:r>
          </w:p>
        </w:tc>
        <w:tc>
          <w:tcPr>
            <w:tcW w:type="dxa" w:w="1008"/>
          </w:tcPr>
          <w:p>
            <w:r>
              <w:rPr>
                <w:b/>
                <w:color w:val="DB4437"/>
                <w:sz w:val="17"/>
              </w:rPr>
              <w:t>AVOID</w:t>
            </w:r>
          </w:p>
        </w:tc>
        <w:tc>
          <w:tcPr>
            <w:tcW w:type="dxa" w:w="1008"/>
          </w:tcPr>
          <w:p>
            <w:r>
              <w:rPr>
                <w:sz w:val="17"/>
              </w:rPr>
              <w:t>13.2x</w:t>
            </w:r>
          </w:p>
        </w:tc>
        <w:tc>
          <w:tcPr>
            <w:tcW w:type="dxa" w:w="1008"/>
          </w:tcPr>
          <w:p>
            <w:r>
              <w:rPr>
                <w:sz w:val="17"/>
              </w:rPr>
              <w:t>$1.37</w:t>
            </w:r>
          </w:p>
        </w:tc>
        <w:tc>
          <w:tcPr>
            <w:tcW w:type="dxa" w:w="1008"/>
          </w:tcPr>
          <w:p>
            <w:r>
              <w:rPr>
                <w:sz w:val="17"/>
              </w:rPr>
              <w:t>-3.5%</w:t>
            </w:r>
          </w:p>
        </w:tc>
        <w:tc>
          <w:tcPr>
            <w:tcW w:type="dxa" w:w="1008"/>
          </w:tcPr>
          <w:p>
            <w:r>
              <w:rPr>
                <w:sz w:val="17"/>
              </w:rPr>
              <w:t>+9.2%</w:t>
            </w:r>
          </w:p>
        </w:tc>
        <w:tc>
          <w:tcPr>
            <w:tcW w:type="dxa" w:w="1008"/>
          </w:tcPr>
          <w:p>
            <w:r>
              <w:rPr>
                <w:sz w:val="17"/>
              </w:rPr>
              <w:t>4.7M</w:t>
            </w:r>
          </w:p>
        </w:tc>
        <w:tc>
          <w:tcPr>
            <w:tcW w:type="dxa" w:w="1008"/>
          </w:tcPr>
          <w:p>
            <w:r>
              <w:rPr>
                <w:sz w:val="17"/>
              </w:rPr>
              <w:t>—</w:t>
            </w:r>
          </w:p>
        </w:tc>
      </w:tr>
      <w:tr>
        <w:tc>
          <w:tcPr>
            <w:tcW w:type="dxa" w:w="1008"/>
          </w:tcPr>
          <w:p>
            <w:r>
              <w:rPr>
                <w:sz w:val="17"/>
              </w:rPr>
              <w:t>GCTS</w:t>
            </w:r>
          </w:p>
        </w:tc>
        <w:tc>
          <w:tcPr>
            <w:tcW w:type="dxa" w:w="1008"/>
          </w:tcPr>
          <w:p>
            <w:r>
              <w:rPr>
                <w:sz w:val="17"/>
              </w:rPr>
              <w:t>23</w:t>
            </w:r>
          </w:p>
        </w:tc>
        <w:tc>
          <w:tcPr>
            <w:tcW w:type="dxa" w:w="1008"/>
          </w:tcPr>
          <w:p>
            <w:r>
              <w:rPr>
                <w:sz w:val="17"/>
              </w:rPr>
              <w:t>C</w:t>
            </w:r>
          </w:p>
        </w:tc>
        <w:tc>
          <w:tcPr>
            <w:tcW w:type="dxa" w:w="1008"/>
          </w:tcPr>
          <w:p>
            <w:r>
              <w:rPr>
                <w:b/>
                <w:color w:val="DB4437"/>
                <w:sz w:val="17"/>
              </w:rPr>
              <w:t>AVOID</w:t>
            </w:r>
          </w:p>
        </w:tc>
        <w:tc>
          <w:tcPr>
            <w:tcW w:type="dxa" w:w="1008"/>
          </w:tcPr>
          <w:p>
            <w:r>
              <w:rPr>
                <w:sz w:val="17"/>
              </w:rPr>
              <w:t>7.2x</w:t>
            </w:r>
          </w:p>
        </w:tc>
        <w:tc>
          <w:tcPr>
            <w:tcW w:type="dxa" w:w="1008"/>
          </w:tcPr>
          <w:p>
            <w:r>
              <w:rPr>
                <w:sz w:val="17"/>
              </w:rPr>
              <w:t>$1.72</w:t>
            </w:r>
          </w:p>
        </w:tc>
        <w:tc>
          <w:tcPr>
            <w:tcW w:type="dxa" w:w="1008"/>
          </w:tcPr>
          <w:p>
            <w:r>
              <w:rPr>
                <w:sz w:val="17"/>
              </w:rPr>
              <w:t>+8.2%</w:t>
            </w:r>
          </w:p>
        </w:tc>
        <w:tc>
          <w:tcPr>
            <w:tcW w:type="dxa" w:w="1008"/>
          </w:tcPr>
          <w:p>
            <w:r>
              <w:rPr>
                <w:sz w:val="17"/>
              </w:rPr>
              <w:t>+6.3%</w:t>
            </w:r>
          </w:p>
        </w:tc>
        <w:tc>
          <w:tcPr>
            <w:tcW w:type="dxa" w:w="1008"/>
          </w:tcPr>
          <w:p>
            <w:r>
              <w:rPr>
                <w:sz w:val="17"/>
              </w:rPr>
              <w:t>55.9M</w:t>
            </w:r>
          </w:p>
        </w:tc>
        <w:tc>
          <w:tcPr>
            <w:tcW w:type="dxa" w:w="1008"/>
          </w:tcPr>
          <w:p>
            <w:r>
              <w:rPr>
                <w:sz w:val="17"/>
              </w:rPr>
              <w:t>—</w:t>
            </w:r>
          </w:p>
        </w:tc>
      </w:tr>
      <w:tr>
        <w:tc>
          <w:tcPr>
            <w:tcW w:type="dxa" w:w="1008"/>
          </w:tcPr>
          <w:p>
            <w:r>
              <w:rPr>
                <w:sz w:val="17"/>
              </w:rPr>
              <w:t>ADVB</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$6.84</w:t>
            </w:r>
          </w:p>
        </w:tc>
        <w:tc>
          <w:tcPr>
            <w:tcW w:type="dxa" w:w="1008"/>
          </w:tcPr>
          <w:p>
            <w:r>
              <w:rPr>
                <w:sz w:val="17"/>
              </w:rPr>
              <w:t>+0.0%</w:t>
            </w:r>
          </w:p>
        </w:tc>
        <w:tc>
          <w:tcPr>
            <w:tcW w:type="dxa" w:w="1008"/>
          </w:tcPr>
          <w:p>
            <w:r>
              <w:rPr>
                <w:sz w:val="17"/>
              </w:rPr>
              <w:t>+0.0%</w:t>
            </w:r>
          </w:p>
        </w:tc>
        <w:tc>
          <w:tcPr>
            <w:tcW w:type="dxa" w:w="1008"/>
          </w:tcPr>
          <w:p>
            <w:r>
              <w:rPr>
                <w:sz w:val="17"/>
              </w:rPr>
              <w:t>0.6M</w:t>
            </w:r>
          </w:p>
        </w:tc>
        <w:tc>
          <w:tcPr>
            <w:tcW w:type="dxa" w:w="1008"/>
          </w:tcPr>
          <w:p>
            <w:r>
              <w:rPr>
                <w:sz w:val="17"/>
              </w:rPr>
              <w:t>—</w:t>
            </w:r>
          </w:p>
        </w:tc>
      </w:tr>
      <w:tr>
        <w:tc>
          <w:tcPr>
            <w:tcW w:type="dxa" w:w="1008"/>
          </w:tcPr>
          <w:p>
            <w:r>
              <w:rPr>
                <w:sz w:val="17"/>
              </w:rPr>
              <w:t>PN</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$5.25</w:t>
            </w:r>
          </w:p>
        </w:tc>
        <w:tc>
          <w:tcPr>
            <w:tcW w:type="dxa" w:w="1008"/>
          </w:tcPr>
          <w:p>
            <w:r>
              <w:rPr>
                <w:sz w:val="17"/>
              </w:rPr>
              <w:t>+0.0%</w:t>
            </w:r>
          </w:p>
        </w:tc>
        <w:tc>
          <w:tcPr>
            <w:tcW w:type="dxa" w:w="1008"/>
          </w:tcPr>
          <w:p>
            <w:r>
              <w:rPr>
                <w:sz w:val="17"/>
              </w:rPr>
              <w:t>+0.0%</w:t>
            </w:r>
          </w:p>
        </w:tc>
        <w:tc>
          <w:tcPr>
            <w:tcW w:type="dxa" w:w="1008"/>
          </w:tcPr>
          <w:p>
            <w:r>
              <w:rPr>
                <w:sz w:val="17"/>
              </w:rPr>
              <w:t>1.1M</w:t>
            </w:r>
          </w:p>
        </w:tc>
        <w:tc>
          <w:tcPr>
            <w:tcW w:type="dxa" w:w="1008"/>
          </w:tcPr>
          <w:p>
            <w:r>
              <w:rPr>
                <w:sz w:val="17"/>
              </w:rPr>
              <w:t>Stock Market Today: Dow Futures Tumble, S&amp;P 500 Ri</w:t>
            </w:r>
          </w:p>
        </w:tc>
      </w:tr>
    </w:tbl>
    <w:p/>
    <w:p>
      <w:bookmarkStart w:id="5" w:name="go_picks"/>
      <w:pPr>
        <w:pStyle w:val="Heading2"/>
      </w:pPr>
      <w:r>
        <w:t>GO-Tier Picks — Top 1</w:t>
      </w:r>
      <w:bookmarkEnd w:id="5"/>
    </w:p>
    <w:p>
      <w:pPr>
        <w:spacing w:after="20"/>
      </w:pPr>
      <w:r>
        <w:t xml:space="preserve">  → </w:t>
      </w:r>
      <w:hyperlink w:anchor="ticker_RLYB">
        <w:r>
          <w:rPr>
            <w:rStyle w:val="Hyperlink"/>
          </w:rPr>
          <w:t xml:space="preserve">RLYB</w:t>
        </w:r>
      </w:hyperlink>
    </w:p>
    <w:p>
      <w:bookmarkStart w:id="100" w:name="ticker_RLYB"/>
      <w:pPr>
        <w:pStyle w:val="Heading3"/>
      </w:pPr>
      <w:r>
        <w:t>RLYB  ·  Rallybio Corp</w:t>
      </w:r>
      <w:bookmarkEnd w:id="100"/>
    </w:p>
    <w:p>
      <w:r>
        <w:rPr>
          <w:sz w:val="20"/>
        </w:rPr>
        <w:t xml:space="preserve">Score: 44/50  ·  Grade: A  ·  </w:t>
      </w:r>
      <w:r>
        <w:rPr>
          <w:b/>
          <w:color w:val="0F9D58"/>
          <w:sz w:val="20"/>
        </w:rPr>
        <w:t>[ GO ]</w:t>
      </w:r>
    </w:p>
    <w:p>
      <w:r>
        <w:rPr>
          <w:rFonts w:ascii="Courier New" w:hAnsi="Courier New"/>
          <w:sz w:val="18"/>
        </w:rPr>
        <w:t>●●●●●●●●●●●●●○○  8/9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$13.56</w:t>
            </w:r>
          </w:p>
        </w:tc>
        <w:tc>
          <w:tcPr>
            <w:tcW w:type="dxa" w:w="1680"/>
          </w:tcPr>
          <w:p>
            <w:r>
              <w:rPr>
                <w:b/>
                <w:sz w:val="18"/>
              </w:rPr>
              <w:t>+44.1%</w:t>
            </w:r>
          </w:p>
        </w:tc>
        <w:tc>
          <w:tcPr>
            <w:tcW w:type="dxa" w:w="1680"/>
          </w:tcPr>
          <w:p>
            <w:r>
              <w:rPr>
                <w:b/>
                <w:sz w:val="18"/>
              </w:rPr>
              <w:t>+14.8%</w:t>
            </w:r>
          </w:p>
        </w:tc>
        <w:tc>
          <w:tcPr>
            <w:tcW w:type="dxa" w:w="1680"/>
          </w:tcPr>
          <w:p>
            <w:r>
              <w:rPr>
                <w:b/>
                <w:sz w:val="18"/>
              </w:rPr>
              <w:t>4.4x</w:t>
            </w:r>
          </w:p>
        </w:tc>
        <w:tc>
          <w:tcPr>
            <w:tcW w:type="dxa" w:w="1680"/>
          </w:tcPr>
          <w:p>
            <w:r>
              <w:rPr>
                <w:b/>
                <w:sz w:val="18"/>
              </w:rPr>
              <w:t>3.2M</w:t>
            </w:r>
          </w:p>
        </w:tc>
        <w:tc>
          <w:tcPr>
            <w:tcW w:type="dxa" w:w="1680"/>
          </w:tcPr>
          <w:p>
            <w:r>
              <w:rPr>
                <w:b/>
                <w:sz w:val="18"/>
              </w:rPr>
              <w:t>4,912,229</w:t>
            </w:r>
          </w:p>
        </w:tc>
      </w:tr>
    </w:tbl>
    <w:p/>
    <w:p>
      <w:r>
        <w:rPr>
          <w:rFonts w:ascii="Courier New" w:hAnsi="Courier New"/>
          <w:sz w:val="17"/>
        </w:rPr>
        <w:t xml:space="preserve">  Catalyst          ███████████░ 14/15</w:t>
      </w:r>
    </w:p>
    <w:p>
      <w:r>
        <w:rPr>
          <w:rFonts w:ascii="Courier New" w:hAnsi="Courier New"/>
          <w:sz w:val="17"/>
        </w:rPr>
        <w:t xml:space="preserve">  RVOL              ███████░░░░░ 7/12</w:t>
      </w:r>
    </w:p>
    <w:p>
      <w:r>
        <w:rPr>
          <w:rFonts w:ascii="Courier New" w:hAnsi="Courier New"/>
          <w:sz w:val="17"/>
        </w:rPr>
        <w:t xml:space="preserve">  Price Action      ██████████░░ 8/10</w:t>
      </w:r>
    </w:p>
    <w:p>
      <w:r>
        <w:rPr>
          <w:rFonts w:ascii="Courier New" w:hAnsi="Courier New"/>
          <w:sz w:val="17"/>
        </w:rPr>
        <w:t xml:space="preserve">  Float             ████████████ 8/8</w:t>
      </w:r>
    </w:p>
    <w:p>
      <w:r>
        <w:rPr>
          <w:rFonts w:ascii="Courier New" w:hAnsi="Courier New"/>
          <w:sz w:val="17"/>
        </w:rPr>
        <w:t xml:space="preserve">  Price Range       ██████████░░ 4/5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**RLYB SCALP SETUP BRIEF**</w:t>
        <w:br/>
        <w:br/>
        <w:t>RLYB is exploding +44% on news that Candid terminated their merger agreement, freeing the biotech from what was likely seen as an unfavorable deal and triggering short covering on the tiny 3M float. The key risk is this appears to be a one-time catalyst pop that could fade quickly without follow-up news, especially given the weak sector momentum score. Look for entries on pullbacks to VWAP or key support levels rather than chasing the current momentum, as the 4+ hour age of the catalyst suggests the initial reaction may be overdone. Watch for any follow-up guidance from management about their standalone strategy or potential new partnerships to sustain momentum.</w:t>
      </w:r>
    </w:p>
    <w:p/>
    <w:p>
      <w:r>
        <w:rPr>
          <w:b/>
          <w:color w:val="1A73E8"/>
          <w:sz w:val="18"/>
        </w:rPr>
        <w:t>🔥 Top Catalyst  ·  4.0h ago  ·  Finnhub  ·  High Impact</w:t>
      </w:r>
    </w:p>
    <w:p>
      <w:r>
        <w:rPr>
          <w:sz w:val="19"/>
        </w:rPr>
        <w:t>Rallybio to acquire Candid Therapeutics [Yahoo]</w:t>
      </w:r>
    </w:p>
    <w:p>
      <w:r>
        <w:rPr>
          <w:color w:val="1A73E8"/>
          <w:sz w:val="16"/>
        </w:rPr>
        <w:t>https://finnhub.io/api/news?id=f3380f69b263fdac5fa0479088a77b3b35bb7c436397d438ac84d05579c11558</w:t>
      </w:r>
    </w:p>
    <w:p>
      <w:pPr>
        <w:pBdr>
          <w:bottom w:val="single" w:sz="4" w:space="1" w:color="1A73E8"/>
        </w:pBdr>
      </w:pPr>
    </w:p>
    <w:p>
      <w:bookmarkStart w:id="6" w:name="cat_tape"/>
      <w:pPr>
        <w:pStyle w:val="Heading2"/>
      </w:pPr>
      <w:r>
        <w:t>Catalyst Tape</w:t>
      </w:r>
      <w:bookmarkEnd w:id="6"/>
    </w:p>
    <w:p>
      <w:r>
        <w:rPr>
          <w:b/>
        </w:rPr>
        <w:t>RLYB  ·  Rallybio Corp</w:t>
      </w:r>
    </w:p>
    <w:p>
      <w:pPr>
        <w:spacing w:after="20"/>
      </w:pPr>
      <w:r>
        <w:rPr>
          <w:sz w:val="17"/>
        </w:rPr>
        <w:t xml:space="preserve">  [High Impact  4.0h  Finnhub]  Rallybio to acquire Candid Therapeutics [Yahoo]</w:t>
      </w:r>
    </w:p>
    <w:p>
      <w:r>
        <w:rPr>
          <w:b/>
        </w:rPr>
        <w:t>MRAM  ·  Everspin Technologies Inc</w:t>
      </w:r>
    </w:p>
    <w:p>
      <w:pPr>
        <w:spacing w:after="20"/>
      </w:pPr>
      <w:r>
        <w:rPr>
          <w:sz w:val="17"/>
        </w:rPr>
        <w:t xml:space="preserve">  [Low Impact  67.0h  ChartMill]  Everspin Executes $40M Agreement for Mil-Aero MRAM Applications [Yahoo Finance]</w:t>
      </w:r>
    </w:p>
    <w:p>
      <w:bookmarkStart w:id="7" w:name="tos_export"/>
      <w:pPr>
        <w:pStyle w:val="Heading2"/>
      </w:pPr>
      <w:r>
        <w:t>ThinkorSwim Export</w:t>
      </w:r>
      <w:bookmarkEnd w:id="7"/>
    </w:p>
    <w:p>
      <w:r>
        <w:t>GO-tier symbols:  RLYB</w:t>
      </w:r>
    </w:p>
    <w:p>
      <w:r>
        <w:t>Import: Charts → Watchlists → Import Watchlist → select .tst file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