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 TRADE AI v10</w:t>
      </w:r>
    </w:p>
    <w:p>
      <w:pPr>
        <w:jc w:val="center"/>
      </w:pPr>
      <w:r>
        <w:rPr>
          <w:sz w:val="20"/>
        </w:rPr>
        <w:t>Run Window: 0400  ·  Date: 2026-05-05  ·  Generated: 06:04:50 ET</w:t>
      </w:r>
    </w:p>
    <w:p>
      <w:pPr>
        <w:pBdr>
          <w:bottom w:val="single" w:sz="4" w:space="1" w:color="1A73E8"/>
        </w:pBdr>
      </w:pPr>
    </w:p>
    <w:p>
      <w:bookmarkStart w:id="1" w:name="toc"/>
      <w:pPr>
        <w:pStyle w:val="Heading2"/>
      </w:pPr>
      <w:r>
        <w:t>Table of Contents</w:t>
      </w:r>
      <w:bookmarkEnd w:id="1"/>
    </w:p>
    <w:p>
      <w:pPr>
        <w:spacing w:after="40"/>
      </w:pPr>
      <w:r>
        <w:t xml:space="preserve">  → </w:t>
      </w:r>
      <w:hyperlink w:anchor="exec_summary">
        <w:r>
          <w:rPr>
            <w:rStyle w:val="Hyperlink"/>
          </w:rPr>
          <w:t xml:space="preserve">Executive Summary</w:t>
        </w:r>
      </w:hyperlink>
    </w:p>
    <w:p>
      <w:pPr>
        <w:spacing w:after="40"/>
      </w:pPr>
      <w:r>
        <w:t xml:space="preserve">  → </w:t>
      </w:r>
      <w:hyperlink w:anchor="delta_section">
        <w:r>
          <w:rPr>
            <w:rStyle w:val="Hyperlink"/>
          </w:rPr>
          <w:t xml:space="preserve">What Changed</w:t>
        </w:r>
      </w:hyperlink>
    </w:p>
    <w:p>
      <w:pPr>
        <w:spacing w:after="40"/>
      </w:pPr>
      <w:r>
        <w:t xml:space="preserve">  → </w:t>
      </w:r>
      <w:hyperlink w:anchor="scorecard">
        <w:r>
          <w:rPr>
            <w:rStyle w:val="Hyperlink"/>
          </w:rPr>
          <w:t xml:space="preserve">Full Scorecard</w:t>
        </w:r>
      </w:hyperlink>
    </w:p>
    <w:p>
      <w:pPr>
        <w:spacing w:after="40"/>
      </w:pPr>
      <w:r>
        <w:t xml:space="preserve">  → </w:t>
      </w:r>
      <w:hyperlink w:anchor="go_picks">
        <w:r>
          <w:rPr>
            <w:rStyle w:val="Hyperlink"/>
          </w:rPr>
          <w:t xml:space="preserve">GO-Tier Picks</w:t>
        </w:r>
      </w:hyperlink>
    </w:p>
    <w:p>
      <w:pPr>
        <w:spacing w:after="40"/>
      </w:pPr>
      <w:r>
        <w:t xml:space="preserve">  → </w:t>
      </w:r>
      <w:hyperlink w:anchor="cat_tape">
        <w:r>
          <w:rPr>
            <w:rStyle w:val="Hyperlink"/>
          </w:rPr>
          <w:t xml:space="preserve">Catalyst Tape</w:t>
        </w:r>
      </w:hyperlink>
    </w:p>
    <w:p>
      <w:pPr>
        <w:spacing w:after="40"/>
      </w:pPr>
      <w:r>
        <w:t xml:space="preserve">  → </w:t>
      </w:r>
      <w:hyperlink w:anchor="tos_export">
        <w:r>
          <w:rPr>
            <w:rStyle w:val="Hyperlink"/>
          </w:rPr>
          <w:t xml:space="preserve">ThinkorSwim Export</w:t>
        </w:r>
      </w:hyperlink>
    </w:p>
    <w:p>
      <w:bookmarkStart w:id="2" w:name="exec_summary"/>
      <w:pPr>
        <w:pStyle w:val="Heading2"/>
      </w:pPr>
      <w:r>
        <w:t>Executive Summary</w:t>
      </w:r>
      <w:bookmarkEnd w:id="2"/>
    </w:p>
    <w:tbl>
      <w:tblPr>
        <w:tblStyle w:val="TableGrid"/>
        <w:tblW w:type="auto" w:w="0"/>
        <w:tblLook w:firstColumn="1" w:firstRow="1" w:lastColumn="0" w:lastRow="0" w:noHBand="0" w:noVBand="1" w:val="04A0"/>
      </w:tblPr>
      <w:tblGrid>
        <w:gridCol w:w="5040"/>
        <w:gridCol w:w="5040"/>
      </w:tblGrid>
      <w:tr>
        <w:tc>
          <w:tcPr>
            <w:tcW w:type="dxa" w:w="5040"/>
            <w:shd w:val="clear" w:color="auto" w:fill="2C2C44"/>
          </w:tcPr>
          <w:p>
            <w:r>
              <w:rPr>
                <w:b/>
              </w:rPr>
              <w:t>Metric</w:t>
            </w:r>
          </w:p>
        </w:tc>
        <w:tc>
          <w:tcPr>
            <w:tcW w:type="dxa" w:w="5040"/>
            <w:shd w:val="clear" w:color="auto" w:fill="2C2C44"/>
          </w:tcPr>
          <w:p>
            <w:r>
              <w:rPr>
                <w:b/>
              </w:rPr>
              <w:t>Value</w:t>
            </w:r>
          </w:p>
        </w:tc>
      </w:tr>
      <w:tr>
        <w:tc>
          <w:tcPr>
            <w:tcW w:type="dxa" w:w="5040"/>
          </w:tcPr>
          <w:p>
            <w:r>
              <w:t>Total Tickers Scanned</w:t>
            </w:r>
          </w:p>
        </w:tc>
        <w:tc>
          <w:tcPr>
            <w:tcW w:type="dxa" w:w="5040"/>
          </w:tcPr>
          <w:p>
            <w:r>
              <w:t>3</w:t>
            </w:r>
          </w:p>
        </w:tc>
      </w:tr>
      <w:tr>
        <w:tc>
          <w:tcPr>
            <w:tcW w:type="dxa" w:w="5040"/>
          </w:tcPr>
          <w:p>
            <w:r>
              <w:t>GO-Tier (≥40)</w:t>
            </w:r>
          </w:p>
        </w:tc>
        <w:tc>
          <w:tcPr>
            <w:tcW w:type="dxa" w:w="5040"/>
          </w:tcPr>
          <w:p>
            <w:r>
              <w:t>1</w:t>
            </w:r>
          </w:p>
        </w:tc>
      </w:tr>
      <w:tr>
        <w:tc>
          <w:tcPr>
            <w:tcW w:type="dxa" w:w="5040"/>
          </w:tcPr>
          <w:p>
            <w:r>
              <w:t>WAIT-Tier (30–39)</w:t>
            </w:r>
          </w:p>
        </w:tc>
        <w:tc>
          <w:tcPr>
            <w:tcW w:type="dxa" w:w="5040"/>
          </w:tcPr>
          <w:p>
            <w:r>
              <w:t>0</w:t>
            </w:r>
          </w:p>
        </w:tc>
      </w:tr>
      <w:tr>
        <w:tc>
          <w:tcPr>
            <w:tcW w:type="dxa" w:w="5040"/>
          </w:tcPr>
          <w:p>
            <w:r>
              <w:t>New Tickers This Run</w:t>
            </w:r>
          </w:p>
        </w:tc>
        <w:tc>
          <w:tcPr>
            <w:tcW w:type="dxa" w:w="5040"/>
          </w:tcPr>
          <w:p>
            <w:r>
              <w:t>0</w:t>
            </w:r>
          </w:p>
        </w:tc>
      </w:tr>
      <w:tr>
        <w:tc>
          <w:tcPr>
            <w:tcW w:type="dxa" w:w="5040"/>
          </w:tcPr>
          <w:p>
            <w:r>
              <w:t>Delta Events</w:t>
            </w:r>
          </w:p>
        </w:tc>
        <w:tc>
          <w:tcPr>
            <w:tcW w:type="dxa" w:w="5040"/>
          </w:tcPr>
          <w:p>
            <w:r>
              <w:t>0</w:t>
            </w:r>
          </w:p>
        </w:tc>
      </w:tr>
      <w:tr>
        <w:tc>
          <w:tcPr>
            <w:tcW w:type="dxa" w:w="5040"/>
          </w:tcPr>
          <w:p>
            <w:r>
              <w:t>Top Score</w:t>
            </w:r>
          </w:p>
        </w:tc>
        <w:tc>
          <w:tcPr>
            <w:tcW w:type="dxa" w:w="5040"/>
          </w:tcPr>
          <w:p>
            <w:r>
              <w:t>42 (BLZE)</w:t>
            </w:r>
          </w:p>
        </w:tc>
      </w:tr>
    </w:tbl>
    <w:p>
      <w:bookmarkStart w:id="3" w:name="delta_section"/>
      <w:pPr>
        <w:pStyle w:val="Heading2"/>
      </w:pPr>
      <w:r>
        <w:t>What Changed Since Last Run</w:t>
      </w:r>
      <w:bookmarkEnd w:id="3"/>
    </w:p>
    <w:p>
      <w:r>
        <w:t>No delta events — this is the first run or state is empty.</w:t>
      </w:r>
    </w:p>
    <w:p>
      <w:bookmarkStart w:id="4" w:name="scorecard"/>
      <w:pPr>
        <w:pStyle w:val="Heading2"/>
      </w:pPr>
      <w:r>
        <w:t>Full Scorecard</w:t>
      </w:r>
      <w:bookmarkEnd w:id="4"/>
    </w:p>
    <w:tbl>
      <w:tblPr>
        <w:tblStyle w:val="TableGrid"/>
        <w:tblW w:type="auto" w:w="0"/>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1008"/>
            <w:shd w:val="clear" w:color="auto" w:fill="2C2C44"/>
          </w:tcPr>
          <w:p>
            <w:r>
              <w:rPr>
                <w:b/>
                <w:color w:val="1A73E8"/>
              </w:rPr>
              <w:t>Symbol</w:t>
            </w:r>
          </w:p>
        </w:tc>
        <w:tc>
          <w:tcPr>
            <w:tcW w:type="dxa" w:w="1008"/>
            <w:shd w:val="clear" w:color="auto" w:fill="2C2C44"/>
          </w:tcPr>
          <w:p>
            <w:r>
              <w:rPr>
                <w:b/>
                <w:color w:val="1A73E8"/>
              </w:rPr>
              <w:t>Score</w:t>
            </w:r>
          </w:p>
        </w:tc>
        <w:tc>
          <w:tcPr>
            <w:tcW w:type="dxa" w:w="1008"/>
            <w:shd w:val="clear" w:color="auto" w:fill="2C2C44"/>
          </w:tcPr>
          <w:p>
            <w:r>
              <w:rPr>
                <w:b/>
                <w:color w:val="1A73E8"/>
              </w:rPr>
              <w:t>Grade</w:t>
            </w:r>
          </w:p>
        </w:tc>
        <w:tc>
          <w:tcPr>
            <w:tcW w:type="dxa" w:w="1008"/>
            <w:shd w:val="clear" w:color="auto" w:fill="2C2C44"/>
          </w:tcPr>
          <w:p>
            <w:r>
              <w:rPr>
                <w:b/>
                <w:color w:val="1A73E8"/>
              </w:rPr>
              <w:t>Decision</w:t>
            </w:r>
          </w:p>
        </w:tc>
        <w:tc>
          <w:tcPr>
            <w:tcW w:type="dxa" w:w="1008"/>
            <w:shd w:val="clear" w:color="auto" w:fill="2C2C44"/>
          </w:tcPr>
          <w:p>
            <w:r>
              <w:rPr>
                <w:b/>
                <w:color w:val="1A73E8"/>
              </w:rPr>
              <w:t>RVOL</w:t>
            </w:r>
          </w:p>
        </w:tc>
        <w:tc>
          <w:tcPr>
            <w:tcW w:type="dxa" w:w="1008"/>
            <w:shd w:val="clear" w:color="auto" w:fill="2C2C44"/>
          </w:tcPr>
          <w:p>
            <w:r>
              <w:rPr>
                <w:b/>
                <w:color w:val="1A73E8"/>
              </w:rPr>
              <w:t>Price</w:t>
            </w:r>
          </w:p>
        </w:tc>
        <w:tc>
          <w:tcPr>
            <w:tcW w:type="dxa" w:w="1008"/>
            <w:shd w:val="clear" w:color="auto" w:fill="2C2C44"/>
          </w:tcPr>
          <w:p>
            <w:r>
              <w:rPr>
                <w:b/>
                <w:color w:val="1A73E8"/>
              </w:rPr>
              <w:t>Chg%</w:t>
            </w:r>
          </w:p>
        </w:tc>
        <w:tc>
          <w:tcPr>
            <w:tcW w:type="dxa" w:w="1008"/>
            <w:shd w:val="clear" w:color="auto" w:fill="2C2C44"/>
          </w:tcPr>
          <w:p>
            <w:r>
              <w:rPr>
                <w:b/>
                <w:color w:val="1A73E8"/>
              </w:rPr>
              <w:t>Gap%</w:t>
            </w:r>
          </w:p>
        </w:tc>
        <w:tc>
          <w:tcPr>
            <w:tcW w:type="dxa" w:w="1008"/>
            <w:shd w:val="clear" w:color="auto" w:fill="2C2C44"/>
          </w:tcPr>
          <w:p>
            <w:r>
              <w:rPr>
                <w:b/>
                <w:color w:val="1A73E8"/>
              </w:rPr>
              <w:t>Float M</w:t>
            </w:r>
          </w:p>
        </w:tc>
        <w:tc>
          <w:tcPr>
            <w:tcW w:type="dxa" w:w="1008"/>
            <w:shd w:val="clear" w:color="auto" w:fill="2C2C44"/>
          </w:tcPr>
          <w:p>
            <w:r>
              <w:rPr>
                <w:b/>
                <w:color w:val="1A73E8"/>
              </w:rPr>
              <w:t>Catalyst</w:t>
            </w:r>
          </w:p>
        </w:tc>
      </w:tr>
      <w:tr>
        <w:tc>
          <w:tcPr>
            <w:tcW w:type="dxa" w:w="1008"/>
          </w:tcPr>
          <w:p>
            <w:r>
              <w:rPr>
                <w:sz w:val="17"/>
              </w:rPr>
              <w:t>BLZE</w:t>
            </w:r>
          </w:p>
        </w:tc>
        <w:tc>
          <w:tcPr>
            <w:tcW w:type="dxa" w:w="1008"/>
          </w:tcPr>
          <w:p>
            <w:r>
              <w:rPr>
                <w:sz w:val="17"/>
              </w:rPr>
              <w:t>42</w:t>
            </w:r>
          </w:p>
        </w:tc>
        <w:tc>
          <w:tcPr>
            <w:tcW w:type="dxa" w:w="1008"/>
          </w:tcPr>
          <w:p>
            <w:r>
              <w:rPr>
                <w:sz w:val="17"/>
              </w:rPr>
              <w:t>A</w:t>
            </w:r>
          </w:p>
        </w:tc>
        <w:tc>
          <w:tcPr>
            <w:tcW w:type="dxa" w:w="1008"/>
          </w:tcPr>
          <w:p>
            <w:r>
              <w:rPr>
                <w:b/>
                <w:color w:val="0F9D58"/>
                <w:sz w:val="17"/>
              </w:rPr>
              <w:t>GO</w:t>
            </w:r>
          </w:p>
        </w:tc>
        <w:tc>
          <w:tcPr>
            <w:tcW w:type="dxa" w:w="1008"/>
          </w:tcPr>
          <w:p>
            <w:r>
              <w:rPr>
                <w:sz w:val="17"/>
              </w:rPr>
              <w:t>4.9x</w:t>
            </w:r>
          </w:p>
        </w:tc>
        <w:tc>
          <w:tcPr>
            <w:tcW w:type="dxa" w:w="1008"/>
          </w:tcPr>
          <w:p>
            <w:r>
              <w:rPr>
                <w:sz w:val="17"/>
              </w:rPr>
              <w:t>$6.68</w:t>
            </w:r>
          </w:p>
        </w:tc>
        <w:tc>
          <w:tcPr>
            <w:tcW w:type="dxa" w:w="1008"/>
          </w:tcPr>
          <w:p>
            <w:r>
              <w:rPr>
                <w:sz w:val="17"/>
              </w:rPr>
              <w:t>+44.0%</w:t>
            </w:r>
          </w:p>
        </w:tc>
        <w:tc>
          <w:tcPr>
            <w:tcW w:type="dxa" w:w="1008"/>
          </w:tcPr>
          <w:p>
            <w:r>
              <w:rPr>
                <w:sz w:val="17"/>
              </w:rPr>
              <w:t>+35.1%</w:t>
            </w:r>
          </w:p>
        </w:tc>
        <w:tc>
          <w:tcPr>
            <w:tcW w:type="dxa" w:w="1008"/>
          </w:tcPr>
          <w:p>
            <w:r>
              <w:rPr>
                <w:sz w:val="17"/>
              </w:rPr>
              <w:t>56.7M</w:t>
            </w:r>
          </w:p>
        </w:tc>
        <w:tc>
          <w:tcPr>
            <w:tcW w:type="dxa" w:w="1008"/>
          </w:tcPr>
          <w:p>
            <w:r>
              <w:rPr>
                <w:sz w:val="17"/>
              </w:rPr>
              <w:t>Backblaze (NASDAQ:BLZE) Soars on Q1 Beat, Raised G</w:t>
            </w:r>
          </w:p>
        </w:tc>
      </w:tr>
      <w:tr>
        <w:tc>
          <w:tcPr>
            <w:tcW w:type="dxa" w:w="1008"/>
          </w:tcPr>
          <w:p>
            <w:r>
              <w:rPr>
                <w:sz w:val="17"/>
              </w:rPr>
              <w:t>INHD</w:t>
            </w:r>
          </w:p>
        </w:tc>
        <w:tc>
          <w:tcPr>
            <w:tcW w:type="dxa" w:w="1008"/>
          </w:tcPr>
          <w:p>
            <w:r>
              <w:rPr>
                <w:sz w:val="17"/>
              </w:rPr>
              <w:t>0</w:t>
            </w:r>
          </w:p>
        </w:tc>
        <w:tc>
          <w:tcPr>
            <w:tcW w:type="dxa" w:w="1008"/>
          </w:tcPr>
          <w:p>
            <w:r>
              <w:rPr>
                <w:sz w:val="17"/>
              </w:rPr>
              <w:t>DISQUALIFIED</w:t>
            </w:r>
          </w:p>
        </w:tc>
        <w:tc>
          <w:tcPr>
            <w:tcW w:type="dxa" w:w="1008"/>
          </w:tcPr>
          <w:p>
            <w:r>
              <w:rPr>
                <w:b/>
                <w:color w:val="DB4437"/>
                <w:sz w:val="17"/>
              </w:rPr>
              <w:t>AVOID</w:t>
            </w:r>
          </w:p>
        </w:tc>
        <w:tc>
          <w:tcPr>
            <w:tcW w:type="dxa" w:w="1008"/>
          </w:tcPr>
          <w:p>
            <w:r>
              <w:rPr>
                <w:sz w:val="17"/>
              </w:rPr>
              <w:t>0.0x</w:t>
            </w:r>
          </w:p>
        </w:tc>
        <w:tc>
          <w:tcPr>
            <w:tcW w:type="dxa" w:w="1008"/>
          </w:tcPr>
          <w:p>
            <w:r>
              <w:rPr>
                <w:sz w:val="17"/>
              </w:rPr>
              <w:t>$1.93</w:t>
            </w:r>
          </w:p>
        </w:tc>
        <w:tc>
          <w:tcPr>
            <w:tcW w:type="dxa" w:w="1008"/>
          </w:tcPr>
          <w:p>
            <w:r>
              <w:rPr>
                <w:sz w:val="17"/>
              </w:rPr>
              <w:t>+0.0%</w:t>
            </w:r>
          </w:p>
        </w:tc>
        <w:tc>
          <w:tcPr>
            <w:tcW w:type="dxa" w:w="1008"/>
          </w:tcPr>
          <w:p>
            <w:r>
              <w:rPr>
                <w:sz w:val="17"/>
              </w:rPr>
              <w:t>+0.0%</w:t>
            </w:r>
          </w:p>
        </w:tc>
        <w:tc>
          <w:tcPr>
            <w:tcW w:type="dxa" w:w="1008"/>
          </w:tcPr>
          <w:p>
            <w:r>
              <w:rPr>
                <w:sz w:val="17"/>
              </w:rPr>
              <w:t>0.4M</w:t>
            </w:r>
          </w:p>
        </w:tc>
        <w:tc>
          <w:tcPr>
            <w:tcW w:type="dxa" w:w="1008"/>
          </w:tcPr>
          <w:p>
            <w:r>
              <w:rPr>
                <w:sz w:val="17"/>
              </w:rPr>
              <w:t>Is Waste Management, Inc. (WM) A Good Stock To Buy</w:t>
            </w:r>
          </w:p>
        </w:tc>
      </w:tr>
      <w:tr>
        <w:tc>
          <w:tcPr>
            <w:tcW w:type="dxa" w:w="1008"/>
          </w:tcPr>
          <w:p>
            <w:r>
              <w:rPr>
                <w:sz w:val="17"/>
              </w:rPr>
              <w:t>MASK</w:t>
            </w:r>
          </w:p>
        </w:tc>
        <w:tc>
          <w:tcPr>
            <w:tcW w:type="dxa" w:w="1008"/>
          </w:tcPr>
          <w:p>
            <w:r>
              <w:rPr>
                <w:sz w:val="17"/>
              </w:rPr>
              <w:t>0</w:t>
            </w:r>
          </w:p>
        </w:tc>
        <w:tc>
          <w:tcPr>
            <w:tcW w:type="dxa" w:w="1008"/>
          </w:tcPr>
          <w:p>
            <w:r>
              <w:rPr>
                <w:sz w:val="17"/>
              </w:rPr>
              <w:t>DISQUALIFIED</w:t>
            </w:r>
          </w:p>
        </w:tc>
        <w:tc>
          <w:tcPr>
            <w:tcW w:type="dxa" w:w="1008"/>
          </w:tcPr>
          <w:p>
            <w:r>
              <w:rPr>
                <w:b/>
                <w:color w:val="DB4437"/>
                <w:sz w:val="17"/>
              </w:rPr>
              <w:t>AVOID</w:t>
            </w:r>
          </w:p>
        </w:tc>
        <w:tc>
          <w:tcPr>
            <w:tcW w:type="dxa" w:w="1008"/>
          </w:tcPr>
          <w:p>
            <w:r>
              <w:rPr>
                <w:sz w:val="17"/>
              </w:rPr>
              <w:t>0.0x</w:t>
            </w:r>
          </w:p>
        </w:tc>
        <w:tc>
          <w:tcPr>
            <w:tcW w:type="dxa" w:w="1008"/>
          </w:tcPr>
          <w:p>
            <w:r>
              <w:rPr>
                <w:sz w:val="17"/>
              </w:rPr>
              <w:t>$2.26</w:t>
            </w:r>
          </w:p>
        </w:tc>
        <w:tc>
          <w:tcPr>
            <w:tcW w:type="dxa" w:w="1008"/>
          </w:tcPr>
          <w:p>
            <w:r>
              <w:rPr>
                <w:sz w:val="17"/>
              </w:rPr>
              <w:t>+0.0%</w:t>
            </w:r>
          </w:p>
        </w:tc>
        <w:tc>
          <w:tcPr>
            <w:tcW w:type="dxa" w:w="1008"/>
          </w:tcPr>
          <w:p>
            <w:r>
              <w:rPr>
                <w:sz w:val="17"/>
              </w:rPr>
              <w:t>+0.0%</w:t>
            </w:r>
          </w:p>
        </w:tc>
        <w:tc>
          <w:tcPr>
            <w:tcW w:type="dxa" w:w="1008"/>
          </w:tcPr>
          <w:p>
            <w:r>
              <w:rPr>
                <w:sz w:val="17"/>
              </w:rPr>
              <w:t>0.8M</w:t>
            </w:r>
          </w:p>
        </w:tc>
        <w:tc>
          <w:tcPr>
            <w:tcW w:type="dxa" w:w="1008"/>
          </w:tcPr>
          <w:p>
            <w:r>
              <w:rPr>
                <w:sz w:val="17"/>
              </w:rPr>
              <w:t>12 Information Technology Stocks Moving In Monday'</w:t>
            </w:r>
          </w:p>
        </w:tc>
      </w:tr>
    </w:tbl>
    <w:p/>
    <w:p>
      <w:bookmarkStart w:id="5" w:name="go_picks"/>
      <w:pPr>
        <w:pStyle w:val="Heading2"/>
      </w:pPr>
      <w:r>
        <w:t>GO-Tier Picks — Top 1</w:t>
      </w:r>
      <w:bookmarkEnd w:id="5"/>
    </w:p>
    <w:p>
      <w:pPr>
        <w:spacing w:after="20"/>
      </w:pPr>
      <w:r>
        <w:t xml:space="preserve">  → </w:t>
      </w:r>
      <w:hyperlink w:anchor="ticker_BLZE">
        <w:r>
          <w:rPr>
            <w:rStyle w:val="Hyperlink"/>
          </w:rPr>
          <w:t xml:space="preserve">BLZE</w:t>
        </w:r>
      </w:hyperlink>
    </w:p>
    <w:p>
      <w:bookmarkStart w:id="100" w:name="ticker_BLZE"/>
      <w:pPr>
        <w:pStyle w:val="Heading3"/>
      </w:pPr>
      <w:r>
        <w:t>BLZE  ·  Backblaze Inc</w:t>
      </w:r>
      <w:bookmarkEnd w:id="100"/>
    </w:p>
    <w:p>
      <w:r>
        <w:rPr>
          <w:sz w:val="20"/>
        </w:rPr>
        <w:t xml:space="preserve">Score: 42/50  ·  Grade: A  ·  </w:t>
      </w:r>
      <w:r>
        <w:rPr>
          <w:b/>
          <w:color w:val="0F9D58"/>
          <w:sz w:val="20"/>
        </w:rPr>
        <w:t>[ GO ]</w:t>
      </w:r>
    </w:p>
    <w:p>
      <w:r>
        <w:rPr>
          <w:rFonts w:ascii="Courier New" w:hAnsi="Courier New"/>
          <w:sz w:val="18"/>
        </w:rPr>
        <w:t>●●●●●●●●●●●●○○○  7/9 criteria</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val="clear" w:color="auto" w:fill="2C2C44"/>
          </w:tcPr>
          <w:p>
            <w:r>
              <w:rPr>
                <w:b/>
                <w:color w:val="9A9AB0"/>
                <w:sz w:val="16"/>
              </w:rPr>
              <w:t>Price</w:t>
            </w:r>
          </w:p>
        </w:tc>
        <w:tc>
          <w:tcPr>
            <w:tcW w:type="dxa" w:w="1680"/>
            <w:shd w:val="clear" w:color="auto" w:fill="2C2C44"/>
          </w:tcPr>
          <w:p>
            <w:r>
              <w:rPr>
                <w:b/>
                <w:color w:val="9A9AB0"/>
                <w:sz w:val="16"/>
              </w:rPr>
              <w:t>Change%</w:t>
            </w:r>
          </w:p>
        </w:tc>
        <w:tc>
          <w:tcPr>
            <w:tcW w:type="dxa" w:w="1680"/>
            <w:shd w:val="clear" w:color="auto" w:fill="2C2C44"/>
          </w:tcPr>
          <w:p>
            <w:r>
              <w:rPr>
                <w:b/>
                <w:color w:val="9A9AB0"/>
                <w:sz w:val="16"/>
              </w:rPr>
              <w:t>Gap%</w:t>
            </w:r>
          </w:p>
        </w:tc>
        <w:tc>
          <w:tcPr>
            <w:tcW w:type="dxa" w:w="1680"/>
            <w:shd w:val="clear" w:color="auto" w:fill="2C2C44"/>
          </w:tcPr>
          <w:p>
            <w:r>
              <w:rPr>
                <w:b/>
                <w:color w:val="9A9AB0"/>
                <w:sz w:val="16"/>
              </w:rPr>
              <w:t>RVOL</w:t>
            </w:r>
          </w:p>
        </w:tc>
        <w:tc>
          <w:tcPr>
            <w:tcW w:type="dxa" w:w="1680"/>
            <w:shd w:val="clear" w:color="auto" w:fill="2C2C44"/>
          </w:tcPr>
          <w:p>
            <w:r>
              <w:rPr>
                <w:b/>
                <w:color w:val="9A9AB0"/>
                <w:sz w:val="16"/>
              </w:rPr>
              <w:t>Float M</w:t>
            </w:r>
          </w:p>
        </w:tc>
        <w:tc>
          <w:tcPr>
            <w:tcW w:type="dxa" w:w="1680"/>
            <w:shd w:val="clear" w:color="auto" w:fill="2C2C44"/>
          </w:tcPr>
          <w:p>
            <w:r>
              <w:rPr>
                <w:b/>
                <w:color w:val="9A9AB0"/>
                <w:sz w:val="16"/>
              </w:rPr>
              <w:t>Volume</w:t>
            </w:r>
          </w:p>
        </w:tc>
      </w:tr>
      <w:tr>
        <w:tc>
          <w:tcPr>
            <w:tcW w:type="dxa" w:w="1680"/>
          </w:tcPr>
          <w:p>
            <w:r>
              <w:rPr>
                <w:b/>
                <w:sz w:val="18"/>
              </w:rPr>
              <w:t>$6.68</w:t>
            </w:r>
          </w:p>
        </w:tc>
        <w:tc>
          <w:tcPr>
            <w:tcW w:type="dxa" w:w="1680"/>
          </w:tcPr>
          <w:p>
            <w:r>
              <w:rPr>
                <w:b/>
                <w:sz w:val="18"/>
              </w:rPr>
              <w:t>+44.0%</w:t>
            </w:r>
          </w:p>
        </w:tc>
        <w:tc>
          <w:tcPr>
            <w:tcW w:type="dxa" w:w="1680"/>
          </w:tcPr>
          <w:p>
            <w:r>
              <w:rPr>
                <w:b/>
                <w:sz w:val="18"/>
              </w:rPr>
              <w:t>+35.1%</w:t>
            </w:r>
          </w:p>
        </w:tc>
        <w:tc>
          <w:tcPr>
            <w:tcW w:type="dxa" w:w="1680"/>
          </w:tcPr>
          <w:p>
            <w:r>
              <w:rPr>
                <w:b/>
                <w:sz w:val="18"/>
              </w:rPr>
              <w:t>4.9x</w:t>
            </w:r>
          </w:p>
        </w:tc>
        <w:tc>
          <w:tcPr>
            <w:tcW w:type="dxa" w:w="1680"/>
          </w:tcPr>
          <w:p>
            <w:r>
              <w:rPr>
                <w:b/>
                <w:sz w:val="18"/>
              </w:rPr>
              <w:t>56.7M</w:t>
            </w:r>
          </w:p>
        </w:tc>
        <w:tc>
          <w:tcPr>
            <w:tcW w:type="dxa" w:w="1680"/>
          </w:tcPr>
          <w:p>
            <w:r>
              <w:rPr>
                <w:b/>
                <w:sz w:val="18"/>
              </w:rPr>
              <w:t>907,341</w:t>
            </w:r>
          </w:p>
        </w:tc>
      </w:tr>
    </w:tbl>
    <w:p/>
    <w:p>
      <w:r>
        <w:rPr>
          <w:rFonts w:ascii="Courier New" w:hAnsi="Courier New"/>
          <w:sz w:val="17"/>
        </w:rPr>
        <w:t xml:space="preserve">  Catalyst          ████████████ 15/15</w:t>
      </w:r>
    </w:p>
    <w:p>
      <w:r>
        <w:rPr>
          <w:rFonts w:ascii="Courier New" w:hAnsi="Courier New"/>
          <w:sz w:val="17"/>
        </w:rPr>
        <w:t xml:space="preserve">  RVOL              ███████░░░░░ 7/12</w:t>
      </w:r>
    </w:p>
    <w:p>
      <w:r>
        <w:rPr>
          <w:rFonts w:ascii="Courier New" w:hAnsi="Courier New"/>
          <w:sz w:val="17"/>
        </w:rPr>
        <w:t xml:space="preserve">  Price Action      ██████████░░ 8/10</w:t>
      </w:r>
    </w:p>
    <w:p>
      <w:r>
        <w:rPr>
          <w:rFonts w:ascii="Courier New" w:hAnsi="Courier New"/>
          <w:sz w:val="17"/>
        </w:rPr>
        <w:t xml:space="preserve">  Float             ███░░░░░░░░░ 2/8</w:t>
      </w:r>
    </w:p>
    <w:p>
      <w:r>
        <w:rPr>
          <w:rFonts w:ascii="Courier New" w:hAnsi="Courier New"/>
          <w:sz w:val="17"/>
        </w:rPr>
        <w:t xml:space="preserve">  Price Range       ████████████ 5/5</w:t>
      </w:r>
    </w:p>
    <w:p>
      <w:pPr>
        <w:spacing w:before="0" w:after="0"/>
      </w:pPr>
      <w:r>
        <w:rPr>
          <w:sz w:val="18"/>
        </w:rPr>
        <w:t xml:space="preserve">  ✅  Has catalyst</w:t>
      </w:r>
    </w:p>
    <w:p>
      <w:pPr>
        <w:spacing w:before="0" w:after="0"/>
      </w:pPr>
      <w:r>
        <w:rPr>
          <w:sz w:val="18"/>
        </w:rPr>
        <w:t xml:space="preserve">  ✅  High-impact catalyst</w:t>
      </w:r>
    </w:p>
    <w:p>
      <w:pPr>
        <w:spacing w:before="0" w:after="0"/>
      </w:pPr>
      <w:r>
        <w:rPr>
          <w:sz w:val="18"/>
        </w:rPr>
        <w:t xml:space="preserve">  ✅  Fresh catalyst (&lt;12h)</w:t>
      </w:r>
    </w:p>
    <w:p>
      <w:pPr>
        <w:spacing w:before="0" w:after="0"/>
      </w:pPr>
      <w:r>
        <w:rPr>
          <w:sz w:val="18"/>
        </w:rPr>
        <w:t xml:space="preserve">  ✅  RVOL ≥ 3x</w:t>
      </w:r>
    </w:p>
    <w:p>
      <w:pPr>
        <w:spacing w:before="0" w:after="0"/>
      </w:pPr>
      <w:r>
        <w:rPr>
          <w:sz w:val="18"/>
        </w:rPr>
        <w:t xml:space="preserve">  ⬜  RVOL ≥ 5x</w:t>
      </w:r>
    </w:p>
    <w:p>
      <w:pPr>
        <w:spacing w:before="0" w:after="0"/>
      </w:pPr>
      <w:r>
        <w:rPr>
          <w:sz w:val="18"/>
        </w:rPr>
        <w:t xml:space="preserve">  ⬜  Float ≤ 50M</w:t>
      </w:r>
    </w:p>
    <w:p>
      <w:pPr>
        <w:spacing w:before="0" w:after="0"/>
      </w:pPr>
      <w:r>
        <w:rPr>
          <w:sz w:val="18"/>
        </w:rPr>
        <w:t xml:space="preserve">  ✅  Price in range ($0.50–$30)</w:t>
      </w:r>
    </w:p>
    <w:p>
      <w:pPr>
        <w:spacing w:before="0" w:after="0"/>
      </w:pPr>
      <w:r>
        <w:rPr>
          <w:sz w:val="18"/>
        </w:rPr>
        <w:t xml:space="preserve">  ✅  Gap ≥ 5%</w:t>
      </w:r>
    </w:p>
    <w:p>
      <w:pPr>
        <w:spacing w:before="0" w:after="0"/>
      </w:pPr>
      <w:r>
        <w:rPr>
          <w:sz w:val="18"/>
        </w:rPr>
        <w:t xml:space="preserve">  ✅  Change ≥ 10%</w:t>
      </w:r>
    </w:p>
    <w:p/>
    <w:p>
      <w:r>
        <w:rPr>
          <w:i/>
          <w:sz w:val="19"/>
        </w:rPr>
        <w:t>**BLZE Scalp Setup Brief**</w:t>
        <w:br/>
        <w:br/>
        <w:t>BLZE is ripping +44% on a solid Q1 earnings beat with raised guidance, showing genuine fundamental momentum with 4.9x relative volume confirming strong institutional interest. The key risk is the large 57M float which could create heavy resistance and potential fade once the initial momentum buyers are exhausted. Look for entries on pullbacks to VWAP or previous resistance-turned-support levels around $5.80-$6.00 zone rather than chasing the current momentum. Watch the $7.00 psychological level - a clean break with volume could trigger another leg up, but rejection there likely signals a deeper pullback opportunity.</w:t>
      </w:r>
    </w:p>
    <w:p/>
    <w:p>
      <w:r>
        <w:rPr>
          <w:b/>
          <w:color w:val="1A73E8"/>
          <w:sz w:val="18"/>
        </w:rPr>
        <w:t>🔥 Top Catalyst  ·  10.7h ago  ·  ChartMill  ·  High Impact</w:t>
      </w:r>
    </w:p>
    <w:p>
      <w:r>
        <w:rPr>
          <w:sz w:val="19"/>
        </w:rPr>
        <w:t>Backblaze (NASDAQ:BLZE) Soars on Q1 Beat, Raised Guidance</w:t>
      </w:r>
    </w:p>
    <w:p>
      <w:r>
        <w:rPr>
          <w:color w:val="1A73E8"/>
          <w:sz w:val="16"/>
        </w:rPr>
        <w:t>https://finnhub.io/api/news?id=dce43740d87a621a61141531ea090f10e832fe530b5ad516ac8fd2547dfd1ca6</w:t>
      </w:r>
    </w:p>
    <w:p>
      <w:pPr>
        <w:pBdr>
          <w:bottom w:val="single" w:sz="4" w:space="1" w:color="1A73E8"/>
        </w:pBdr>
      </w:pPr>
    </w:p>
    <w:p>
      <w:bookmarkStart w:id="6" w:name="cat_tape"/>
      <w:pPr>
        <w:pStyle w:val="Heading2"/>
      </w:pPr>
      <w:r>
        <w:t>Catalyst Tape</w:t>
      </w:r>
      <w:bookmarkEnd w:id="6"/>
    </w:p>
    <w:p>
      <w:r>
        <w:rPr>
          <w:b/>
        </w:rPr>
        <w:t>BLZE  ·  Backblaze Inc</w:t>
      </w:r>
    </w:p>
    <w:p>
      <w:pPr>
        <w:spacing w:after="20"/>
      </w:pPr>
      <w:r>
        <w:rPr>
          <w:sz w:val="17"/>
        </w:rPr>
        <w:t xml:space="preserve">  [High Impact  10.7h  ChartMill]  Backblaze (NASDAQ:BLZE) Soars on Q1 Beat, Raised Guidance</w:t>
      </w:r>
    </w:p>
    <w:p>
      <w:pPr>
        <w:spacing w:after="20"/>
      </w:pPr>
      <w:r>
        <w:rPr>
          <w:sz w:val="17"/>
        </w:rPr>
        <w:t xml:space="preserve">  [Low Impact  10.6h  Yahoo Finance]  Backblaze, Inc. (BLZE) Tops Q1 Earnings and Revenue Estimates</w:t>
      </w:r>
    </w:p>
    <w:p>
      <w:pPr>
        <w:spacing w:after="20"/>
      </w:pPr>
      <w:r>
        <w:rPr>
          <w:sz w:val="17"/>
        </w:rPr>
        <w:t xml:space="preserve">  [Low Impact  10.8h  Yahoo Finance]  Backblaze Q1 Earnings Call Highlights</w:t>
      </w:r>
    </w:p>
    <w:p>
      <w:pPr>
        <w:spacing w:after="20"/>
      </w:pPr>
      <w:r>
        <w:rPr>
          <w:sz w:val="17"/>
        </w:rPr>
        <w:t xml:space="preserve">  [Low Impact  11.3h  SeekingAlpha]  Backblaze, Inc. (BLZE) Q1 2026 Earnings Call Transcript</w:t>
      </w:r>
    </w:p>
    <w:p>
      <w:pPr>
        <w:spacing w:after="20"/>
      </w:pPr>
      <w:r>
        <w:rPr>
          <w:sz w:val="17"/>
        </w:rPr>
        <w:t xml:space="preserve">  [Low Impact  11.4h  Yahoo Finance]  Backblaze (BLZE) Q1 2026 Earnings Transcript</w:t>
      </w:r>
    </w:p>
    <w:p>
      <w:pPr>
        <w:spacing w:after="20"/>
      </w:pPr>
      <w:r>
        <w:rPr>
          <w:sz w:val="17"/>
        </w:rPr>
        <w:t xml:space="preserve">  [Low Impact  11.5h  Finnhub]  Transcript : Backblaze, Inc., Q1 2026 Earnings Call, May 04, 2026</w:t>
      </w:r>
    </w:p>
    <w:p>
      <w:bookmarkStart w:id="7" w:name="tos_export"/>
      <w:pPr>
        <w:pStyle w:val="Heading2"/>
      </w:pPr>
      <w:r>
        <w:t>ThinkorSwim Export</w:t>
      </w:r>
      <w:bookmarkEnd w:id="7"/>
    </w:p>
    <w:p>
      <w:r>
        <w:t>GO-tier symbols:  BLZE</w:t>
      </w:r>
    </w:p>
    <w:p>
      <w:r>
        <w:t>Import: Charts → Watchlists → Import Watchlist → select .tst file</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