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p>
      <w:pPr>
        <w:pStyle w:val="Heading1"/>
      </w:pPr>
      <w:r>
        <w:t>2026-07-04 Evening — Due-Diligence Mission, Card v4 Family, History Purge</w:t>
      </w:r>
    </w:p>
    <w:p>
      <w:r>
        <w:t>An evening due-diligence mission shipped as PRs #90–#99, #101 and #102 (all squash-merged and deployed the same day). It closed out the idle-in-transaction failure class discovered in the morning incident work, fixed a set of card intelligence gaps, ran a full secrets audit that ended in a rewrite of the repository's git history, locked the Security Card v4 family across all four decision surfaces, and authored the repository's top-level architecture and operations documents.</w:t>
      </w:r>
    </w:p>
    <w:p>
      <w:pPr>
        <w:pStyle w:val="Heading2"/>
      </w:pPr>
      <w:r>
        <w:t>Idle-in-transaction class eliminated (PRs #90–#93)</w:t>
      </w:r>
    </w:p>
    <w:p>
      <w:r>
        <w:t>The morning's governor outage had exposed idle-in-transaction as a systemic class, and the evening sweep eliminated it: eight scripts were fixed across PRs #90, #91, #92 and #93. The offenders included the health agent self-killing its own sessions, enrichment jobs holding transactions open across LLM calls, classify_instruments losing its weekly run, and the stage-2b LLM review worker holding a transaction while waiting on model output. The stage-2b worker turned out to be entirely unscheduled — it now runs on a new cron at */30 during 06:00–19:00 on weekdays. As part of the cleanup, 364 stale queue rows that had accumulated behind the dead paths were expired.</w:t>
      </w:r>
    </w:p>
    <w:p>
      <w:pPr>
        <w:pStyle w:val="Heading2"/>
      </w:pPr>
      <w:r>
        <w:t>Card intelligence gaps (PR #92)</w:t>
      </w:r>
    </w:p>
    <w:p>
      <w:r>
        <w:t>Four correctness gaps in card intelligence were closed in PR #92: security descriptions now render on the card; a Finviz score column bug was fixed where the pipeline wrote the indicator confluence_score=0 into the column instead of the computed tech_score; ATM-lane agent reviews were never being queued because the queue filters matched PENDING-only statuses, which the ATM lane never passes through; and options proposals now attach their underlying's context so the card can reason about the equity beneath the contract.</w:t>
      </w:r>
    </w:p>
    <w:p>
      <w:pPr>
        <w:pStyle w:val="Heading2"/>
      </w:pPr>
      <w:r>
        <w:t>Secrets due-diligence and git history purge (PR #94 + git-filter-repo)</w:t>
      </w:r>
    </w:p>
    <w:p>
      <w:r>
        <w:t>A secrets audit found the GitHub backup repository was PUBLIC; it was immediately flipped to private. PR #94 removed an untracked Google-cookie backup from the working tree, scrubbed PII from tracked files (account numbers reduced to ***199), and hardened .gitignore against recurrence. The remote git history itself was then purged with git-filter-repo: 3,128 commits were rewritten and main moved from 09907521 to 6c85417e. Removed from all remote history: an exposed Anthropic API key file, cookie file generations, a database-password literal, and holdings snapshots. A full pre-purge rollback bundle is kept at ~/backups/tardeai_pre_purge_20260704_1932.bundle. One residual remains: GitHub's refs/pull/* pins still reference the old objects until GitHub Support runs a garbage collection.</w:t>
      </w:r>
    </w:p>
    <w:p>
      <w:pPr>
        <w:pStyle w:val="Heading2"/>
      </w:pPr>
      <w:r>
        <w:t>Security Card v4 family LOCKED (PRs #95–#97, refinements #101/#102, build label #98)</w:t>
      </w:r>
    </w:p>
    <w:p>
      <w:r>
        <w:t>The Security Card v4 family shipped and was locked across PRs #95, #96 and #97: WatchlistCardV4, BrokerProposalCardV4, PositionDecisionCardV4 and the Option*CardV4 variants, controlled by a global cc.cards.v4 toggle that defaults ON. The design is a two-row tinted hero, with market-aware weekend staleness handling so Friday data is not flagged stale on Saturday. Parity checklists are embedded directly in each component's header so future edits can be verified against the locked contract. Two refinement rounds followed: PR #101 promoted the Company line and added an LLM stance whitelist, and PR #102 added an explicit sizing liquidity status, a per-row equity-risk tooltip, and visible provenance. PR #98 fixed the build label so it is now a real build stamp rather than a placeholder.</w:t>
      </w:r>
    </w:p>
    <w:p>
      <w:pPr>
        <w:pStyle w:val="Heading2"/>
      </w:pPr>
      <w:r>
        <w:t>Top-level ARCHITECTURE.md and OPERATIONS.md (PR #99)</w:t>
      </w:r>
    </w:p>
    <w:p>
      <w:r>
        <w:t>PR #99 authored the repository's top-level ARCHITECTURE.md and OPERATIONS.md, giving the repo root a canonical architecture overview and an operations runbook as the final phase of the due-diligence mission.</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