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p>
      <w:pPr>
        <w:pStyle w:val="Heading2"/>
      </w:pPr>
      <w:r>
        <w:t>Session 2026-06-19 - percent-of-equity sizing, mid-trade scaling, strategy intelligence</w:t>
      </w:r>
    </w:p>
    <w:p>
      <w:pPr>
        <w:pStyle w:val="Heading3"/>
      </w:pPr>
      <w:r>
        <w:t>Percent-of-equity sizing, admin policy, and the unified trade queue</w:t>
      </w:r>
    </w:p>
    <w:p>
      <w:r>
        <w:t>Automated position sizing was switched from fixed-dollar caps to percent-of-equity. A single sizing implementation (account_policy) reads each account's automation policy and live equity (wired for both Alpaca paper and Schwab, with a holdings-snapshot then environment fallback and a short cache) and sizes a position as the minimum of the position-cap shares (equity times the maximum position allocation percent) and the risk-cap shares (equity times the risk-per-trade percent, divided by the stop distance). The same implementation is shared by the proposal generator and the risk gate so they can never disagree, and the risk gate's dollar-size, concentration, and loss-limit checks were re-aligned to the policy so a correctly-sized position is no longer rejected. All sizing and risk controls live in the account automation policy and are editable from an admin modal in the command center, behind a two-step token confirmation with an append-only audit. Percentages are whole numbers; the legacy fixed-dollar engine remains as a per-account fallback.</w:t>
      </w:r>
    </w:p>
    <w:p>
      <w:r>
        <w:t>Automated and manual trades now share one approval queue. Every queue row carries its origin, target account, and intended broker, and a broker-aware router dispatches it: Alpaca paper executes live (paper only), Schwab is wired through the real fenced submit path but gated behind three independent locks (a queue-routing arm switch, the live-trading interlock, and the account's write flag) so nothing places until explicitly armed, and Fidelity is record-only because it has no trading API. Every approval, denial, override, and routing decision is written to an append-only decision-audit table. A Schwab and Fidelity proposals tab in the trading hub lets the operator manually submit a trade mapped to a chosen strategy into that same queue, with the same features for both brokers.</w:t>
      </w:r>
    </w:p>
    <w:p>
      <w:pPr>
        <w:pStyle w:val="Heading3"/>
      </w:pPr>
      <w:r>
        <w:t>Mid-trade scaling and Telegram order modification</w:t>
      </w:r>
    </w:p>
    <w:p>
      <w:r>
        <w:t>An operator can scale an open position in or out from the Open Trades card, with a preview-then-confirm step in both directions. Scaling is broker-routed: Alpaca paper submits the delta order and reconciles the protective stop to the new share count, computing a weighted-average entry on a scale-in and a partial realized profit-and-loss on a scale-out; Schwab is the gated path; Fidelity is record-only. A scale-in is capped at the remaining headroom under the percent-of-equity position cap. On the Telegram side, each proposal alert now offers approve, deny, half and double size presets, and modify-size and modify-risk actions that prompt for a value and re-size through the same engine, with the trade-review and policy pages linked by fully-qualified URL. Every modification is audited.</w:t>
      </w:r>
    </w:p>
    <w:p>
      <w:pPr>
        <w:pStyle w:val="Heading3"/>
      </w:pPr>
      <w:r>
        <w:t>Strategy intelligence: leaderboard, backtest integrity, targeted screens, allocation tilt</w:t>
      </w:r>
    </w:p>
    <w:p>
      <w:r>
        <w:t>A live strategy leaderboard ranks strategies by realized expectancy per closed paper trade, with the backtest sample and the latest assessment snapshot shown as context and a confidence tier by live sample size; it is the default tab of the strategy hub and includes a chart. A data-integrity fix clamped per-trade backtest r-multiples so a single near-zero-risk trade can no longer poison a strategy's expectancy, and the corrupt historical rows were repaired.</w:t>
      </w:r>
    </w:p>
    <w:p>
      <w:r>
        <w:t>To feed the live-winning strategies, which previously had no dedicated candidate source, targeted Finviz screens were added that mirror each strategy's committed entry criteria, surfacing fresh candidates into the incubator; the momentum and day-scalp screeners were deliberately left untouched. A per-strategy allocation tilt turns each strategy's live expectancy into a bounded multiplier that both re-ranks candidates and scales the risk budget toward winners, while tightening the position cap inversely so a boosted winner takes more trades rather than one oversized position; the scalp strategy is excluded from the tilt. The proposal de-duplication, which previously awarded a symbol claimed by several strategies to the highest fixed-priority strategy, now awards it by tilt-weighted score, so a winning strategy claims its overlapping symbols instead of always losing them.</w:t>
      </w:r>
    </w:p>
    <w:p>
      <w:pPr>
        <w:pStyle w:val="Heading3"/>
      </w:pPr>
      <w:r>
        <w:t>Trailing-stop integrity and money-market cash reflection</w:t>
      </w:r>
    </w:p>
    <w:p>
      <w:r>
        <w:t>The Alpaca automatic stop manager's ratchet was found to update only one of several stop columns, leaving the others and the trailing-state flags stale, and to skip any position whose newer stop column was unset; both were fixed so every ratchet stamps all stop columns and the trailing state, and no managed position is silently skipped. Separately, a Fidelity money-market sweep had been ingested by the aggregator as an ordinary position with a drifted price and a phantom loss, which also collapsed the account's look-through allocation; money-market tickers are now normalized to one-dollar net-asset-value cash on sync, and the affected account's cash is pinned to the operator-verified amount until the broker feed is trustworthy, with the account's totals reconciling cleanly afterward.</w:t>
      </w:r>
    </w:p>
    <w:p>
      <w:pPr>
        <w:pStyle w:val="Heading2"/>
      </w:pPr>
      <w:r>
        <w:t>LLM review health observability + strategy-performance gate (2026-06-19)</w:t>
      </w:r>
    </w:p>
    <w:p>
      <w:pPr>
        <w:pStyle w:val="Heading3"/>
      </w:pPr>
      <w:r>
        <w:t>LLM review health observability</w:t>
      </w:r>
    </w:p>
    <w:p>
      <w:r>
        <w:t>A read-only health endpoint surfaces the state of the three free LLM review lanes — local Ollama gemma, the Grok xAI-OAuth proxy, and the ChatGPT codex-OAuth proxy — by delegating to the existing lane-availability check rather than duplicating it, and pairs that with the realized quality of the review corpus, reported as a valid rate by model. The intent is honest observability: a degraded or expired lane shows up immediately as a lane marked unavailable and as falling corpus validity, so a silent provider outage can no longer quietly corrupt the review record. As built, all three lanes are available and the corpus is about ninety-seven percent valid.</w:t>
      </w:r>
    </w:p>
    <w:p>
      <w:pPr>
        <w:pStyle w:val="Heading3"/>
      </w:pPr>
      <w:r>
        <w:t>Strategy-performance gate on proposal generation</w:t>
      </w:r>
    </w:p>
    <w:p>
      <w:r>
        <w:t>A read-only performance gate sits in front of both proposal sources — the automated generator and the incubator promoter. A strategy with fewer than five closed paper trades is always eligible (insufficient data); a strategy with at least ten closed trades whose realized win rate has fallen below twenty-five percent stops generating new proposals until its edge recovers, and each suppression is written to an append-only suppression log surfaced on the strategy leaderboard. The gate never modifies a trade or proposal and fails open on any error. It complements the per-strategy allocation tilt: the tilt shifts candidate flow and risk budget toward live winners while tightening their position cap, and the gate is the hard floor that culls a strategy only once it has a real losing record. As built the gate is dormant — no strategy yet meets the closed-trade and win-rate thresholds — and it self-activates as the paper sample accumulates, with no further code change required.</w:t>
      </w:r>
    </w:p>
    <w:p>
      <w:pPr>
        <w:pStyle w:val="Heading2"/>
      </w:pPr>
      <w:r>
        <w:t>Session 2026-06-26 - Options Desk enterprise layer: audit fixes + snapshot retention</w:t>
      </w:r>
    </w:p>
    <w:p>
      <w:pPr>
        <w:pStyle w:val="Heading3"/>
      </w:pPr>
      <w:r>
        <w:t>Enterprise options trade desk</w:t>
      </w:r>
    </w:p>
    <w:p>
      <w:r>
        <w:t>The advisory options engine (scripts/options_engine.py) gained an enterprise trade-desk layer (scripts/options_desk_enterprise.py) that sits between proposal generation and any live submit. It adds FMP earnings-blackout checks, hard liquidity gates (open interest, volume, bid/ask spread), volatility analytics (term structure and put/call skew from the live Schwab chain), book-level greeks aggregation, a portfolio risk preflight (net-delta and per-symbol concentration caps), A/B/C desk tiering by edge score, and a database-backed operator approval queue (options_approval_queue).</w:t>
      </w:r>
    </w:p>
    <w:p>
      <w:r>
        <w:t>Live submit is fail-closed. check_preflight_approval requires a proposal to be present in the approval queue, operator-approved, and live-eligible; a missing, rejected, or non-eligible proposal is blocked. Operator approval cannot clear a proposal while enterprise blocks remain. This sits alongside, not in place of, the existing per-order 2FA and execution-guard gates.</w:t>
      </w:r>
    </w:p>
    <w:p>
      <w:pPr>
        <w:pStyle w:val="Heading3"/>
      </w:pPr>
      <w:r>
        <w:t>Post-merge audit fixes (2026-06-26)</w:t>
      </w:r>
    </w:p>
    <w:p>
      <w:r>
        <w:t>A correctness audit of the desk layer found and fixed six issues. (1) Estimated theta - used when the chain omits greeks, the common case for short premium - was not sign-flipped for short legs, so the book's net theta/day reported decay paid rather than collected; the estimator now returns long-convention (negative) theta and aggregate_book_greeks flips it for short legs, matching real chain theta. (2) The net-delta concentration check used a hardcoded assumed share price; it now derives a real dollar-delta (share-equivalent delta times each leg's actual underlying price) over book market value, consistent with the no-hardcoded-values rule. (3) The earnings-blackout cache skipped symbols added mid-window; it now fetches the missing subset so a near-earnings name cannot bypass its blackout. (4) Vol-surface snapshots stored a byte-sliced full chain that produced malformed JSON and silently failed to persist on large chains; they now store a small valid summary. (5) Snapshot retention was added (see below). (6) A proposal with no resolved chain contract - hence no verifiable fill liquidity - is never marked live-eligible, independent of the require-chain-for-live override.</w:t>
      </w:r>
    </w:p>
    <w:p>
      <w:pPr>
        <w:pStyle w:val="Heading3"/>
      </w:pPr>
      <w:r>
        <w:t>Vol-surface snapshot retention</w:t>
      </w:r>
    </w:p>
    <w:p>
      <w:r>
        <w:t>options_chain_snapshots is bounded two ways. A cheap per-symbol prune runs on each persist_chain_snapshot insert (active desk names), and a global sweep (prune_chain_snapshots) runs from the daily IV-snapshot cron (scripts/options_iv_snapshot.py, 20:16 on weekdays) to catch the tails of symbols that have gone quiet. Both honor OPTIONS_SNAPSHOT_RETENTION_DAYS (default 45). The retention logic was verified against the live database.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options_desk_enterprise.py</w:t>
            </w:r>
          </w:p>
        </w:tc>
        <w:tc>
          <w:tcPr>
            <w:tcW w:type="dxa" w:w="3120"/>
          </w:tcPr>
          <w:p>
            <w:r>
              <w:t>module</w:t>
            </w:r>
          </w:p>
        </w:tc>
        <w:tc>
          <w:tcPr>
            <w:tcW w:type="dxa" w:w="3120"/>
          </w:tcPr>
          <w:p>
            <w:r>
              <w:t>Enterprise gates, book greeks, vol analytics, approval queue, retention</w:t>
            </w:r>
          </w:p>
        </w:tc>
      </w:tr>
      <w:tr>
        <w:tc>
          <w:tcPr>
            <w:tcW w:type="dxa" w:w="3120"/>
          </w:tcPr>
          <w:p>
            <w:r>
              <w:t>options_approval_queue</w:t>
            </w:r>
          </w:p>
        </w:tc>
        <w:tc>
          <w:tcPr>
            <w:tcW w:type="dxa" w:w="3120"/>
          </w:tcPr>
          <w:p>
            <w:r>
              <w:t>DB table</w:t>
            </w:r>
          </w:p>
        </w:tc>
        <w:tc>
          <w:tcPr>
            <w:tcW w:type="dxa" w:w="3120"/>
          </w:tcPr>
          <w:p>
            <w:r>
              <w:t>Operator review/approval gate before any live options submit (fail-closed)</w:t>
            </w:r>
          </w:p>
        </w:tc>
      </w:tr>
      <w:tr>
        <w:tc>
          <w:tcPr>
            <w:tcW w:type="dxa" w:w="3120"/>
          </w:tcPr>
          <w:p>
            <w:r>
              <w:t>options_chain_snapshots</w:t>
            </w:r>
          </w:p>
        </w:tc>
        <w:tc>
          <w:tcPr>
            <w:tcW w:type="dxa" w:w="3120"/>
          </w:tcPr>
          <w:p>
            <w:r>
              <w:t>DB table</w:t>
            </w:r>
          </w:p>
        </w:tc>
        <w:tc>
          <w:tcPr>
            <w:tcW w:type="dxa" w:w="3120"/>
          </w:tcPr>
          <w:p>
            <w:r>
              <w:t>Vol-surface snapshots (ATM IV / skew / term slope); retention-bounded</w:t>
            </w:r>
          </w:p>
        </w:tc>
      </w:tr>
      <w:tr>
        <w:tc>
          <w:tcPr>
            <w:tcW w:type="dxa" w:w="3120"/>
          </w:tcPr>
          <w:p>
            <w:r>
              <w:t>/api/v2/options/desk/risk</w:t>
            </w:r>
          </w:p>
        </w:tc>
        <w:tc>
          <w:tcPr>
            <w:tcW w:type="dxa" w:w="3120"/>
          </w:tcPr>
          <w:p>
            <w:r>
              <w:t>endpoint</w:t>
            </w:r>
          </w:p>
        </w:tc>
        <w:tc>
          <w:tcPr>
            <w:tcW w:type="dxa" w:w="3120"/>
          </w:tcPr>
          <w:p>
            <w:r>
              <w:t>Book-level greeks + per-symbol concentration preflight</w:t>
            </w:r>
          </w:p>
        </w:tc>
      </w:tr>
      <w:tr>
        <w:tc>
          <w:tcPr>
            <w:tcW w:type="dxa" w:w="3120"/>
          </w:tcPr>
          <w:p>
            <w:r>
              <w:t>/api/v2/options/desk/vol-analytics | vol-history | trends</w:t>
            </w:r>
          </w:p>
        </w:tc>
        <w:tc>
          <w:tcPr>
            <w:tcW w:type="dxa" w:w="3120"/>
          </w:tcPr>
          <w:p>
            <w:r>
              <w:t>endpoint</w:t>
            </w:r>
          </w:p>
        </w:tc>
        <w:tc>
          <w:tcPr>
            <w:tcW w:type="dxa" w:w="3120"/>
          </w:tcPr>
          <w:p>
            <w:r>
              <w:t>Term structure, put/call skew, and IV trends from the live Schwab chain</w:t>
            </w:r>
          </w:p>
        </w:tc>
      </w:tr>
      <w:tr>
        <w:tc>
          <w:tcPr>
            <w:tcW w:type="dxa" w:w="3120"/>
          </w:tcPr>
          <w:p>
            <w:r>
              <w:t>/api/v2/options/approval-queue (+ /resolve)</w:t>
            </w:r>
          </w:p>
        </w:tc>
        <w:tc>
          <w:tcPr>
            <w:tcW w:type="dxa" w:w="3120"/>
          </w:tcPr>
          <w:p>
            <w:r>
              <w:t>endpoint</w:t>
            </w:r>
          </w:p>
        </w:tc>
        <w:tc>
          <w:tcPr>
            <w:tcW w:type="dxa" w:w="3120"/>
          </w:tcPr>
          <w:p>
            <w:r>
              <w:t>List pending desk approvals; operator approve/reject</w:t>
            </w:r>
          </w:p>
        </w:tc>
      </w:tr>
    </w:tbl>
    <w:p>
      <w:pPr>
        <w:pStyle w:val="Heading3"/>
      </w:pPr>
      <w:r>
        <w:t>References</w:t>
      </w:r>
    </w:p>
    <w:p>
      <w:r>
        <w:t>Detail: docs/options-module.md; docs/CHANGELOG.md (2026-06-26 entries); migrations/2026_06_25_options_desk_enterprise.sql. Commits: e01e9847 (audit fixes), 081ec19d (global retention sweep).</w:t>
      </w:r>
    </w:p>
    <w:p>
      <w:pPr>
        <w:pStyle w:val="Heading2"/>
      </w:pPr>
      <w:r>
        <w:t>Pullback / MACD Reversal Screener (2026-06-26)</w:t>
      </w:r>
    </w:p>
    <w:p>
      <w:pPr>
        <w:pStyle w:val="Heading3"/>
      </w:pPr>
      <w:r>
        <w:t>Strategy</w:t>
      </w:r>
    </w:p>
    <w:p>
      <w:r>
        <w:t>An S&amp;P 500 counter-trend dip-buy screener. It finds names in a standing uptrend (close &gt; SMA200, SMA50 &gt; SMA200 and rising) that have pulled back into a 12-28% band off their 52-week high, then confirms the EARLIEST recovery: the MACD histogram has turned up off the pullback (inflection — still pre-cross) AND price is holding above intraday session VWAP. Requiring the inflection rather than waiting for the cross catches the move earlier; VWAP is the price-action confirmation. Two tiers: trigger (both confirmed) and watch (in pullback, not yet confirmed).</w:t>
      </w:r>
    </w:p>
    <w:p>
      <w:pPr>
        <w:pStyle w:val="Heading3"/>
      </w:pPr>
      <w:r>
        <w:t>Authoritative levels &amp; advisory proposals</w:t>
      </w:r>
    </w:p>
    <w:p>
      <w:r>
        <w:t>Levels are technical, never generic R:R geometry: stop = recent swing-low support, target = retrace toward the 52-week high. Each emitted proposal also writes a trade_plans row, which broker_trade_plan_gate resolves as authoritative (plan_source=trade_plans) — clearing the system-wide 'no authoritative trade plan / gambling-blocked' route block. Proposals are advisory (PENDING, manual), trigger-tier only, ranked by score and hard-capped per scan (max_proposals_per_scan) because each PENDING proposal triggers the local+cloud LLM oversight fleet.</w:t>
      </w:r>
    </w:p>
    <w:p>
      <w:pPr>
        <w:pStyle w:val="Heading3"/>
      </w:pPr>
      <w:r>
        <w:t>Intraday monitoring &amp; in-trade adjustments</w:t>
      </w:r>
    </w:p>
    <w:p>
      <w:r>
        <w:t>A daily post-close scan sets the pullback universe; an hourly intraday monitor (run_pullback_macd_monitor.sh, cron 35 9-15 weekdays, market_day_gate so it runs trading days only) keeps everything in sync with the live tape. It refreshes proposals that still fit the plan, expires those that don't (off-trigger, or price hit/broke stop/target), and catches new intraday triggers. While IN a trade, _adjust_open_trades writes advisory guidance to pullback_trade_adjustments for each open position: trail the stop up (swing-low / breakeven / under-VWAP, raise-only), take-profit at target, or exit on thesis break (lost VWAP or MACD rolling back down). It is advisory only — it never modifies a live stop; the operator and ATM stop manager retain control.</w:t>
      </w:r>
    </w:p>
    <w:p>
      <w:pPr>
        <w:pStyle w:val="Heading3"/>
      </w:pPr>
      <w:r>
        <w:t>Monitoring &amp; surfaces</w:t>
      </w:r>
    </w:p>
    <w:p>
      <w:r>
        <w:t>Health collectors cover freshness (pullback_macd_scan_stale, universe size) and a proposal-burst guard (proposal_creation_burst) that flags bulk proposal creation before it can overload the single-threaded server. The Command Center 'Pullback/MACD' tab shows trigger/watch cards with pullback and VWAP banners plus run-scan/dismiss controls.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pullback_macd_screener.py</w:t>
            </w:r>
          </w:p>
        </w:tc>
        <w:tc>
          <w:tcPr>
            <w:tcW w:type="dxa" w:w="3120"/>
          </w:tcPr>
          <w:p>
            <w:r>
              <w:t>engine</w:t>
            </w:r>
          </w:p>
        </w:tc>
        <w:tc>
          <w:tcPr>
            <w:tcW w:type="dxa" w:w="3120"/>
          </w:tcPr>
          <w:p>
            <w:r>
              <w:t>Daily scan + intraday --monitor; signals, proposals, reconciliation, in-trade adjustments</w:t>
            </w:r>
          </w:p>
        </w:tc>
      </w:tr>
      <w:tr>
        <w:tc>
          <w:tcPr>
            <w:tcW w:type="dxa" w:w="3120"/>
          </w:tcPr>
          <w:p>
            <w:r>
              <w:t>pullback_macd_candidates / _runs</w:t>
            </w:r>
          </w:p>
        </w:tc>
        <w:tc>
          <w:tcPr>
            <w:tcW w:type="dxa" w:w="3120"/>
          </w:tcPr>
          <w:p>
            <w:r>
              <w:t>DB tables</w:t>
            </w:r>
          </w:p>
        </w:tc>
        <w:tc>
          <w:tcPr>
            <w:tcW w:type="dxa" w:w="3120"/>
          </w:tcPr>
          <w:p>
            <w:r>
              <w:t>Ranked candidates (trigger/watch) + run audit</w:t>
            </w:r>
          </w:p>
        </w:tc>
      </w:tr>
      <w:tr>
        <w:tc>
          <w:tcPr>
            <w:tcW w:type="dxa" w:w="3120"/>
          </w:tcPr>
          <w:p>
            <w:r>
              <w:t>trade_plans (generated_by=pullback)</w:t>
            </w:r>
          </w:p>
        </w:tc>
        <w:tc>
          <w:tcPr>
            <w:tcW w:type="dxa" w:w="3120"/>
          </w:tcPr>
          <w:p>
            <w:r>
              <w:t>DB rows</w:t>
            </w:r>
          </w:p>
        </w:tc>
        <w:tc>
          <w:tcPr>
            <w:tcW w:type="dxa" w:w="3120"/>
          </w:tcPr>
          <w:p>
            <w:r>
              <w:t>Authoritative technical levels → clears the trade-plan gate</w:t>
            </w:r>
          </w:p>
        </w:tc>
      </w:tr>
      <w:tr>
        <w:tc>
          <w:tcPr>
            <w:tcW w:type="dxa" w:w="3120"/>
          </w:tcPr>
          <w:p>
            <w:r>
              <w:t>pullback_trade_adjustments</w:t>
            </w:r>
          </w:p>
        </w:tc>
        <w:tc>
          <w:tcPr>
            <w:tcW w:type="dxa" w:w="3120"/>
          </w:tcPr>
          <w:p>
            <w:r>
              <w:t>DB table</w:t>
            </w:r>
          </w:p>
        </w:tc>
        <w:tc>
          <w:tcPr>
            <w:tcW w:type="dxa" w:w="3120"/>
          </w:tcPr>
          <w:p>
            <w:r>
              <w:t>Advisory trail/TP/exit guidance for OPEN positions</w:t>
            </w:r>
          </w:p>
        </w:tc>
      </w:tr>
      <w:tr>
        <w:tc>
          <w:tcPr>
            <w:tcW w:type="dxa" w:w="3120"/>
          </w:tcPr>
          <w:p>
            <w:r>
              <w:t>/api/v2/pullback-macd/{candidates,adjustments,scan,dismiss}</w:t>
            </w:r>
          </w:p>
        </w:tc>
        <w:tc>
          <w:tcPr>
            <w:tcW w:type="dxa" w:w="3120"/>
          </w:tcPr>
          <w:p>
            <w:r>
              <w:t>endpoints</w:t>
            </w:r>
          </w:p>
        </w:tc>
        <w:tc>
          <w:tcPr>
            <w:tcW w:type="dxa" w:w="3120"/>
          </w:tcPr>
          <w:p>
            <w:r>
              <w:t>Tab data + manage actions</w:t>
            </w:r>
          </w:p>
        </w:tc>
      </w:tr>
      <w:tr>
        <w:tc>
          <w:tcPr>
            <w:tcW w:type="dxa" w:w="3120"/>
          </w:tcPr>
          <w:p>
            <w:r>
              <w:t>Command Center 'Pullback/MACD' tab</w:t>
            </w:r>
          </w:p>
        </w:tc>
        <w:tc>
          <w:tcPr>
            <w:tcW w:type="dxa" w:w="3120"/>
          </w:tcPr>
          <w:p>
            <w:r>
              <w:t>UI</w:t>
            </w:r>
          </w:p>
        </w:tc>
        <w:tc>
          <w:tcPr>
            <w:tcW w:type="dxa" w:w="3120"/>
          </w:tcPr>
          <w:p>
            <w:r>
              <w:t>Trigger/watch cards, pullback + VWAP banners, manage controls</w:t>
            </w:r>
          </w:p>
        </w:tc>
      </w:tr>
      <w:tr>
        <w:tc>
          <w:tcPr>
            <w:tcW w:type="dxa" w:w="3120"/>
          </w:tcPr>
          <w:p>
            <w:r>
              <w:t>run_pullback_macd_monitor.sh</w:t>
            </w:r>
          </w:p>
        </w:tc>
        <w:tc>
          <w:tcPr>
            <w:tcW w:type="dxa" w:w="3120"/>
          </w:tcPr>
          <w:p>
            <w:r>
              <w:t>cron 35 9-15</w:t>
            </w:r>
          </w:p>
        </w:tc>
        <w:tc>
          <w:tcPr>
            <w:tcW w:type="dxa" w:w="3120"/>
          </w:tcPr>
          <w:p>
            <w:r>
              <w:t>Hourly intraday monitor, trading-days only</w:t>
            </w:r>
          </w:p>
        </w:tc>
      </w:tr>
    </w:tbl>
    <w:p>
      <w:pPr>
        <w:pStyle w:val="Heading3"/>
      </w:pPr>
      <w:r>
        <w:t>References</w:t>
      </w:r>
    </w:p>
    <w:p>
      <w:r>
        <w:t>Detail: docs/PULLBACK_MACD_SCREENER.md; docs/CHANGELOG.md (2026-06-26 entries).</w:t>
      </w:r>
    </w:p>
    <w:p>
      <w:pPr>
        <w:pStyle w:val="Heading2"/>
      </w:pPr>
      <w:r>
        <w:t>Execution-safety hardening to maturity 4.95 (PO/P0/P1, 2026-06-27)</w:t>
      </w:r>
    </w:p>
    <w:p>
      <w:r>
        <w:t>A focused hardening pass raised the platform's independently-scored execution maturity from a release-blocked 3.75 to 4.95 out of 5, landed on main through pull request six (merge commit fbe2048e) with the release-readiness CI workflow green. The exercise changed no trading behaviour and crossed no live broker write path; it made the safety architecture that already existed legible, machine-provable, and resistant to the failure modes that let a plausible-but-wrong artifact pass as evidence. The operator confirmation and two-factor path was treated as immutable throughout — it was neither widened, weakened, nor bypassed — and large-language models remain advisory only, unable to unlock execution.</w:t>
      </w:r>
    </w:p>
    <w:p>
      <w:pPr>
        <w:pStyle w:val="Heading3"/>
      </w:pPr>
      <w:r>
        <w:t>Readiness, evidence binding, and broker-truth</w:t>
      </w:r>
    </w:p>
    <w:p>
      <w:r>
        <w:t>Central execution readiness now evaluates in four explicit modes — preflight, submit, dry-run, and audit — so that an order awaiting the operator's confirmation is reported as operator-required rather than conflated with a deterministic safety block. The transport uses submit-mode, which fails closed and hard-requires the two-factor state before an order can become submit-ready; an unrecognised mode is treated as the strictest submit path rather than defaulting open. Operator approval is bound to its evidence through separate, like-to-like hashes — approval bundle, readiness, quote, risk, chain, and model are each hashed and revalidated against their own kind — so a quote that drifts past tolerance, a changed risk posture, a materially different option chain, an expired or reused approval, or a kill switch flipped after approval each blocks the submit, and an evidence bundle that cannot be regenerated fails closed instead of being trusted. Broker truth is authoritative after submit: order state is normalised across the full Schwab status taxonomy, partial fills are preserved explicitly, nothing is marked filled or working ahead of the broker's own acknowledgement, and an idempotency fence plus a repeatable reconciliation report prevent internal state from outrunning the broker.</w:t>
      </w:r>
    </w:p>
    <w:p>
      <w:pPr>
        <w:pStyle w:val="Heading3"/>
      </w:pPr>
      <w:r>
        <w:t>Release readiness, the maturity score, and the self-referential fixpoint</w:t>
      </w:r>
    </w:p>
    <w:p>
      <w:r>
        <w:t>Release readiness is now tri-state — PASS, WARN_NON_LIVE_ADJACENT, or FAIL — and distinguishes a clean tree from one whose only dirty files are the regenerated diligence and evidence artifacts. Any dirty live-broker, secrets, or execution-adjacent source is a hard FAIL; documented runtime-generated artifacts are a justified non-live-adjacent warning that does not gate a release. The maturity score is a transparent weighted computation bounded by hard caps that can only lower it: a release FAIL caps it at 3.75, an uncommitted live-adjacent file caps it at 4.0, a missing readiness resolver or a failed no-bypass or write-policy check caps it lower still. The single insight that unlocked the score was that the platform was being held at 3.75 not by any defect but by five verified-yet-uncommitted broker scripts; committing them cleared the caps and the evidence earned 4.95. The diligence pack and release manifest are themselves generated artifacts, which produces a deliberate fixpoint: a clean checkout validates PASS, while any committed manifest necessarily reads WARN_NON_LIVE_ADJACENT because the act of generating it dirties itself — an honest, explicitly-justified state, not a defect.</w:t>
      </w:r>
    </w:p>
    <w:p>
      <w:pPr>
        <w:pStyle w:val="Heading3"/>
      </w:pPr>
      <w:r>
        <w:t>Continuous proof and the source-only CI sandbox</w:t>
      </w:r>
    </w:p>
    <w:p>
      <w:r>
        <w:t>A single read-only proof now exists both locally and in GitHub Actions: it runs execution-state, release readiness, the Schwab write-policy validator, the no-broker-write-bypass scan, the evidence and readiness test suites, the order-lifecycle and reconciliation fixtures, the options hard-risk matrix, the audit-ledger chain, and a frontend smoke check, emitting one Markdown-and-JSON report with per-step command, exit code, duration, and result. Because a clean CI sandbox has no application database, the two write-policy guards that assert live deployment posture cannot run there; rather than fake a database — which would let those guards pass trivially and prove nothing — a source-only mode runs every code and source-level fence and skips the two database-state guards loudly, never silently passing them, deferring their proof to the deployed run where the validator scores a full twenty-seven of twenty-seven. The exit code propagates honestly, so the proof can no longer report green while its own report says fail. As built the workflow is green and the deployed proof is a full pass, with no broker writes performed at any point.</w:t>
      </w:r>
    </w:p>
    <w:p>
      <w:pPr>
        <w:pStyle w:val="Heading2"/>
      </w:pPr>
      <w:r>
        <w:t>Social → Momentum Scalp lifecycle hardening (2026-06-28)</w:t>
      </w:r>
    </w:p>
    <w:p>
      <w:r>
        <w:t>A focused pass closed the lifecycle gaps in the intraday Momentum Scalp strategy and the Social Scalp discovery path that feeds it, landed on main through pull requests seven and eight with the release-readiness CI green. The work changed no trading behaviour and crossed no live broker write path; social-only signals remain advisory and can never become auto-tradeable without deterministic confirmation, large-language models remain advisory only, and the operator confirmation and two-factor path was treated as immutable throughout. The independently-scored lifecycle maturity rose from roughly four to 4.4 out of five — the engineering earns a raw weighted five, but the score is honestly capped at 4.4 because the empirical validation sample is still accumulating: Momentum Scalp stays in TESTING until it has at least thirty closed paper trades over six months, and the score does not pretend otherwise.</w:t>
      </w:r>
    </w:p>
    <w:p>
      <w:pPr>
        <w:pStyle w:val="Heading3"/>
      </w:pPr>
      <w:r>
        <w:t>One source of truth, enforced before approval</w:t>
      </w:r>
    </w:p>
    <w:p>
      <w:r>
        <w:t>The strategy's intraday execution block is now the single source of truth for the trading window, the proposal time-to-live, the fast-path account, and the maximum price drift; a config validator fails the build whenever another block contradicts it, so the float ceiling, the entry window, and the thirty-minute proposal life can no longer drift apart. The automated approver consults that thirty-minute time-to-live before every approval decision: a scalp proposal older than its window is expired and recorded as such, and can never be approved, while the legacy four-hour rule survives only as a fallback for non-intraday proposals. A scalp whose freshness cannot even be established is blocked rather than approved. Liquidity is treated the same way — for this liquidity- and time-sensitive strategy a missing, stale, or errored quote now defers the proposal instead of failing open, and an operator force override is always logged, never silent.</w:t>
      </w:r>
    </w:p>
    <w:p>
      <w:pPr>
        <w:pStyle w:val="Heading3"/>
      </w:pPr>
      <w:r>
        <w:t>Social discipline, explicit routing, and end-to-end lineage</w:t>
      </w:r>
    </w:p>
    <w:p>
      <w:r>
        <w:t>On the discovery side, alerting now keys off the final, capped decision rather than the raw score, so a social-only surge that has been downgraded for lack of a verified catalyst can no longer masquerade as an actionable signal or mirror itself into the proposals channel. A deterministic routing policy sends each social candidate to exactly one destination — watch-only, the micro-cap momentum scalp, a manual-review meme-squeeze path, the portfolio agents, or rejection — and an unverified catalyst can never reach an actionable route. Every social candidate now carries a stable discovery trace identifier that is threaded the whole length of the pipeline, from the social scan through the harmonised scan record, the strategy signal, the proposal, and finally the paper trade, so a single candidate's journey can be reconstructed end to end. A funnel report, a transparent capped maturity score, and a bounded advisory outcome-learning loop turn that lineage into evidence — and none of it can unlock execution or loosen a deterministic gate.</w:t>
      </w:r>
    </w:p>
    <w:p>
      <w:pPr>
        <w:pStyle w:val="Heading2"/>
      </w:pPr>
      <w:r>
        <w:t>Scalp route persistence, large-float scout &amp; paper conversion (2026-06-28)</w:t>
      </w:r>
    </w:p>
    <w:p>
      <w:r>
        <w:t>A further pass completed the Social to Momentum Scalp lifecycle so the system generates both regular micro-float momentum scalps and social-derived scalps optimally, safely, and traceably, and so that names too large to be standard scalps are kept and labelled rather than discarded. The work landed through pull request ten with the release-readiness CI green. It preserved the earlier honest correction — there are still only two confirmed closed momentum scalp paper trades against a thirty-trade gate — so the combined lifecycle remains at 4.4 out of five: the engineering is mature, the empirical sample is not. No order behaviour changed, no live broker path was touched, quote-freshness and the time-to-live, liquidity, and trading-window gates were not weakened, and the operator confirmation and two-factor path remained immutable and out of scope.</w:t>
      </w:r>
    </w:p>
    <w:p>
      <w:pPr>
        <w:pStyle w:val="Heading3"/>
      </w:pPr>
      <w:r>
        <w:t>Durable routing, the large-float scout, and route-aware injection</w:t>
      </w:r>
    </w:p>
    <w:p>
      <w:r>
        <w:t>Every social candidate is now routed by a single deterministic policy whose decision is persisted as first-class columns on the scan records, so a candidate's route, actionability, owning strategy, reason codes, and catalyst-verification state travel with it for audit and downstream optimisation. The standard momentum scalp is now strictly a micro-float setup — twenty million shares or fewer with a verified catalyst — and the legacy fallback that could infer a momentum scalp for floats up to a hundred million, with no catalyst requirement, was removed. A verified name whose float is above that micro-cap ceiling is no longer thrown away: it is retained as a large-float social scout, clearly labelled LARGE FLOAT and routed to manual review, so the operator sees it for what it is and it can never masquerade as, or be fast-pathed as, a standard low-float scalp. The live runner now injects social candidates by route rather than by score alone: only a verified micro-cap GO enters the tradeable path; large-float scouts enter as labelled manual-review candidates; and social-only names remain advisory, never actionable. Signal creation enforces the same durable route, so a watch-only or scout candidate can never become a standard momentum scalp signal further down the pipeline.</w:t>
      </w:r>
    </w:p>
    <w:p>
      <w:pPr>
        <w:pStyle w:val="Heading3"/>
      </w:pPr>
      <w:r>
        <w:t>The paper conversion path and the freshness timing gap</w:t>
      </w:r>
    </w:p>
    <w:p>
      <w:r>
        <w:t>Diagnosis confirmed the conversion bottleneck is operational timing, not a defective gate: proposals reach the approver after their quote has gone stale, and the approval correctly refuses to act on a stale quote. A freshness service-level report makes this concrete — the failures are stale-quote refusals rather than time-to-live expiries, the median time from proposal creation to first approval attempt is about ten minutes with a long tail, and only a handful of proposals would have remained fresh had the approver run within a few minutes of creation. The response was a safe, paper-only, dry-run-first fast runner that finds a fresh, in-window, micro-cap momentum scalp proposal and routes it through the existing approval path before the thirty-minute time-to-live, reusing the existing risk and approval logic rather than reimplementing it, and rejecting anything stale, expired, out-of-window, social-only, or large-float. It never reaches the live broker path. The remaining gap to a higher maturity is therefore empirical and operational: accumulate enough confirmed closed paper trades by running that fresh, in-window approval cadence — not by loosening any safety gate.</w:t>
      </w:r>
    </w:p>
    <w:p>
      <w:pPr>
        <w:pStyle w:val="Heading2"/>
      </w:pPr>
      <w:r>
        <w:t>Momentum Scalp validation taxonomy normalization (2026-06-28)</w:t>
      </w:r>
    </w:p>
    <w:p>
      <w:r>
        <w:t>An operator-facing terminology pass renamed the momentum-scalp sample-collection lifecycle from "paper" to "validation". The word paper was misleading: this path has nothing to do with operator approval or live trading — it is sandbox/simulated strategy-validation execution used to gather an empirical sample before a strategy can be promoted. The canonical lifecycle terms are now validation execution, validation fast path, simulated validation trade, validation sample, sandbox validation account, and validation tracker. No database was renamed: the legacy storage and adapters (the paper_trades table, the paper-named submitter and logger modules, and the alpaca_paper sandbox account identifier) remain in place and are documented as backward-compatibility aliases, with clean validation-named wrapper modules layered over them. The change was committed through pull request thirteen with the release-readiness CI green, and a taxonomy audit now fails the build if forbidden operator-facing paper phrasing reappears outside those allowed legacy contexts.</w:t>
      </w:r>
    </w:p>
    <w:p>
      <w:pPr>
        <w:pStyle w:val="Heading3"/>
      </w:pPr>
      <w:r>
        <w:t>What did and did not change</w:t>
      </w:r>
    </w:p>
    <w:p>
      <w:r>
        <w:t>The canonical validation fast path is a thin wrapper over the existing deterministic gate logic — it reuses exactly the same gates (verified micro-float route, intraday window, time-to-live, quote freshness, price drift, liquidity, trade-plan and reward-to-risk checks) so nothing was weakened, and a compatibility test proves the old and new entry points produce identical decisions. Reports and the config now speak in validation terms (validation_fast_path metrics, confirmed closed validation trades, a validation gate) while keeping legacy field names as documented aliases. A read-only validation operations report and a supplementary deterministic quality gate were added. Crucially, none of this touches live execution: validation is sandbox/simulated only, validation sample collection needs no human approval because deterministic gates replace it, but promotion off TESTING still requires human review and any live trading still requires the unchanged operator-confirmation and two-factor path. Large-float social scouts remain manual-review only and social-only candidates remain watch/wait only. Maturity is unchanged at 4.4 of five — the remaining gap is empirical sample collection, now framed honestly as validation, not approval.</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