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⚡ TRADE AI v10</w:t>
      </w:r>
    </w:p>
    <w:p>
      <w:pPr>
        <w:jc w:val="center"/>
      </w:pPr>
      <w:r>
        <w:rPr>
          <w:sz w:val="20"/>
        </w:rPr>
        <w:t>Run Window: 0700  ·  Date: 2026-04-29  ·  Generated: 08:06:19 ET</w:t>
      </w:r>
    </w:p>
    <w:p>
      <w:pPr>
        <w:pBdr>
          <w:bottom w:val="single" w:sz="4" w:space="1" w:color="1A73E8"/>
        </w:pBdr>
      </w:pPr>
    </w:p>
    <w:p>
      <w:bookmarkStart w:id="1" w:name="toc"/>
      <w:pPr>
        <w:pStyle w:val="Heading2"/>
      </w:pPr>
      <w:r>
        <w:t>Table of Contents</w:t>
      </w:r>
      <w:bookmarkEnd w:id="1"/>
    </w:p>
    <w:p>
      <w:pPr>
        <w:spacing w:after="40"/>
      </w:pPr>
      <w:r>
        <w:t xml:space="preserve">  → </w:t>
      </w:r>
      <w:hyperlink w:anchor="exec_summary">
        <w:r>
          <w:rPr>
            <w:rStyle w:val="Hyperlink"/>
          </w:rPr>
          <w:t xml:space="preserve">Executive Summary</w:t>
        </w:r>
      </w:hyperlink>
    </w:p>
    <w:p>
      <w:pPr>
        <w:spacing w:after="40"/>
      </w:pPr>
      <w:r>
        <w:t xml:space="preserve">  → </w:t>
      </w:r>
      <w:hyperlink w:anchor="delta_section">
        <w:r>
          <w:rPr>
            <w:rStyle w:val="Hyperlink"/>
          </w:rPr>
          <w:t xml:space="preserve">What Changed</w:t>
        </w:r>
      </w:hyperlink>
    </w:p>
    <w:p>
      <w:pPr>
        <w:spacing w:after="40"/>
      </w:pPr>
      <w:r>
        <w:t xml:space="preserve">  → </w:t>
      </w:r>
      <w:hyperlink w:anchor="scorecard">
        <w:r>
          <w:rPr>
            <w:rStyle w:val="Hyperlink"/>
          </w:rPr>
          <w:t xml:space="preserve">Full Scorecard</w:t>
        </w:r>
      </w:hyperlink>
    </w:p>
    <w:p>
      <w:pPr>
        <w:spacing w:after="40"/>
      </w:pPr>
      <w:r>
        <w:t xml:space="preserve">  → </w:t>
      </w:r>
      <w:hyperlink w:anchor="go_picks">
        <w:r>
          <w:rPr>
            <w:rStyle w:val="Hyperlink"/>
          </w:rPr>
          <w:t xml:space="preserve">GO-Tier Picks</w:t>
        </w:r>
      </w:hyperlink>
    </w:p>
    <w:p>
      <w:pPr>
        <w:spacing w:after="40"/>
      </w:pPr>
      <w:r>
        <w:t xml:space="preserve">  → </w:t>
      </w:r>
      <w:hyperlink w:anchor="cat_tape">
        <w:r>
          <w:rPr>
            <w:rStyle w:val="Hyperlink"/>
          </w:rPr>
          <w:t xml:space="preserve">Catalyst Tape</w:t>
        </w:r>
      </w:hyperlink>
    </w:p>
    <w:p>
      <w:pPr>
        <w:spacing w:after="40"/>
      </w:pPr>
      <w:r>
        <w:t xml:space="preserve">  → </w:t>
      </w:r>
      <w:hyperlink w:anchor="tos_export">
        <w:r>
          <w:rPr>
            <w:rStyle w:val="Hyperlink"/>
          </w:rPr>
          <w:t xml:space="preserve">ThinkorSwim Export</w:t>
        </w:r>
      </w:hyperlink>
    </w:p>
    <w:p>
      <w:bookmarkStart w:id="2" w:name="exec_summary"/>
      <w:pPr>
        <w:pStyle w:val="Heading2"/>
      </w:pPr>
      <w:r>
        <w:t>Executive Summary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2C2C44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5040"/>
            <w:shd w:val="clear" w:color="auto" w:fill="2C2C44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t>Total Tickers Scanned</w:t>
            </w:r>
          </w:p>
        </w:tc>
        <w:tc>
          <w:tcPr>
            <w:tcW w:type="dxa" w:w="5040"/>
          </w:tcPr>
          <w:p>
            <w:r>
              <w:t>0</w:t>
            </w:r>
          </w:p>
        </w:tc>
      </w:tr>
      <w:tr>
        <w:tc>
          <w:tcPr>
            <w:tcW w:type="dxa" w:w="5040"/>
          </w:tcPr>
          <w:p>
            <w:r>
              <w:t>GO-Tier (≥40)</w:t>
            </w:r>
          </w:p>
        </w:tc>
        <w:tc>
          <w:tcPr>
            <w:tcW w:type="dxa" w:w="5040"/>
          </w:tcPr>
          <w:p>
            <w:r>
              <w:t>0</w:t>
            </w:r>
          </w:p>
        </w:tc>
      </w:tr>
      <w:tr>
        <w:tc>
          <w:tcPr>
            <w:tcW w:type="dxa" w:w="5040"/>
          </w:tcPr>
          <w:p>
            <w:r>
              <w:t>WAIT-Tier (30–39)</w:t>
            </w:r>
          </w:p>
        </w:tc>
        <w:tc>
          <w:tcPr>
            <w:tcW w:type="dxa" w:w="5040"/>
          </w:tcPr>
          <w:p>
            <w:r>
              <w:t>0</w:t>
            </w:r>
          </w:p>
        </w:tc>
      </w:tr>
      <w:tr>
        <w:tc>
          <w:tcPr>
            <w:tcW w:type="dxa" w:w="5040"/>
          </w:tcPr>
          <w:p>
            <w:r>
              <w:t>New Tickers This Run</w:t>
            </w:r>
          </w:p>
        </w:tc>
        <w:tc>
          <w:tcPr>
            <w:tcW w:type="dxa" w:w="5040"/>
          </w:tcPr>
          <w:p>
            <w:r>
              <w:t>0</w:t>
            </w:r>
          </w:p>
        </w:tc>
      </w:tr>
      <w:tr>
        <w:tc>
          <w:tcPr>
            <w:tcW w:type="dxa" w:w="5040"/>
          </w:tcPr>
          <w:p>
            <w:r>
              <w:t>Delta Events</w:t>
            </w:r>
          </w:p>
        </w:tc>
        <w:tc>
          <w:tcPr>
            <w:tcW w:type="dxa" w:w="5040"/>
          </w:tcPr>
          <w:p>
            <w:r>
              <w:t>0</w:t>
            </w:r>
          </w:p>
        </w:tc>
      </w:tr>
      <w:tr>
        <w:tc>
          <w:tcPr>
            <w:tcW w:type="dxa" w:w="5040"/>
          </w:tcPr>
          <w:p>
            <w:r>
              <w:t>Top Score</w:t>
            </w:r>
          </w:p>
        </w:tc>
        <w:tc>
          <w:tcPr>
            <w:tcW w:type="dxa" w:w="5040"/>
          </w:tcPr>
          <w:p>
            <w:r>
              <w:t>—</w:t>
            </w:r>
          </w:p>
        </w:tc>
      </w:tr>
    </w:tbl>
    <w:p>
      <w:bookmarkStart w:id="3" w:name="delta_section"/>
      <w:pPr>
        <w:pStyle w:val="Heading2"/>
      </w:pPr>
      <w:r>
        <w:t>What Changed Since Last Run</w:t>
      </w:r>
      <w:bookmarkEnd w:id="3"/>
    </w:p>
    <w:p>
      <w:r>
        <w:t>No delta events — this is the first run or state is empty.</w:t>
      </w:r>
    </w:p>
    <w:p>
      <w:bookmarkStart w:id="4" w:name="scorecard"/>
      <w:pPr>
        <w:pStyle w:val="Heading2"/>
      </w:pPr>
      <w:r>
        <w:t>Full Scorecard</w:t>
      </w:r>
      <w:bookmarkEnd w:id="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Symbol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Score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Grade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Decision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RVOL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Price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Chg%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Gap%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Float M</w:t>
            </w:r>
          </w:p>
        </w:tc>
        <w:tc>
          <w:tcPr>
            <w:tcW w:type="dxa" w:w="1008"/>
            <w:shd w:val="clear" w:color="auto" w:fill="2C2C44"/>
          </w:tcPr>
          <w:p>
            <w:r>
              <w:rPr>
                <w:b/>
                <w:color w:val="1A73E8"/>
              </w:rPr>
              <w:t>Catalyst</w:t>
            </w:r>
          </w:p>
        </w:tc>
      </w:tr>
    </w:tbl>
    <w:p/>
    <w:p>
      <w:bookmarkStart w:id="5" w:name="go_picks"/>
      <w:pPr>
        <w:pStyle w:val="Heading2"/>
      </w:pPr>
      <w:r>
        <w:t>GO-Tier Picks — Top 0</w:t>
      </w:r>
      <w:bookmarkEnd w:id="5"/>
    </w:p>
    <w:p>
      <w:bookmarkStart w:id="6" w:name="cat_tape"/>
      <w:pPr>
        <w:pStyle w:val="Heading2"/>
      </w:pPr>
      <w:r>
        <w:t>Catalyst Tape</w:t>
      </w:r>
      <w:bookmarkEnd w:id="6"/>
    </w:p>
    <w:p>
      <w:bookmarkStart w:id="7" w:name="tos_export"/>
      <w:pPr>
        <w:pStyle w:val="Heading2"/>
      </w:pPr>
      <w:r>
        <w:t>ThinkorSwim Export</w:t>
      </w:r>
      <w:bookmarkEnd w:id="7"/>
    </w:p>
    <w:p>
      <w:r>
        <w:t>GO-tier symbols:  —</w:t>
      </w:r>
    </w:p>
    <w:p>
      <w:r>
        <w:t>Import: Charts → Watchlists → Import Watchlist → select .tst file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