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p>
      <w:pPr>
        <w:pStyle w:val="Heading2"/>
      </w:pPr>
      <w:r>
        <w:t>Rotation Intelligence (advisory-only, 2026-06-17)</w:t>
      </w:r>
    </w:p>
    <w:p>
      <w:r>
        <w:t>Rotation Intelligence is a Command Center v3 feature that helps the operator review whether to rotate exposure between holdings. It is strictly advisory: it never places, cancels, buys, sells, or routes anything, it calls no broker API, and it uses no paid LLM API and no API keys. Grok runs only on a free OAuth session. Full detail: docs/project/ROTATION_LLM_ADVISOR.md.</w:t>
      </w:r>
    </w:p>
    <w:p>
      <w:pPr>
        <w:pStyle w:val="Heading3"/>
      </w:pPr>
      <w:r>
        <w:t>Grounded-first answer</w:t>
      </w:r>
    </w:p>
    <w:p>
      <w:r>
        <w:t>Every question is first answered by a deterministic grounding report built from the real holdings, the symbol-card intelligence, and the advisory rotation scorer. If grounding shows no model-supported trim, add, or rotation signal, the answer mode is grounded_no_supported_action and the review range is reported as unavailable - no numeric trim amount is invented. The local model and Grok are second opinions only and can never override grounding.</w:t>
      </w:r>
    </w:p>
    <w:p>
      <w:pPr>
        <w:pStyle w:val="Heading3"/>
      </w:pPr>
      <w:r>
        <w:t>Ask paths</w:t>
      </w:r>
    </w:p>
    <w:p>
      <w:r>
        <w:t>Ask Local returns the grounded review instantly. Run Grok Review gets a free OAuth Grok second opinion inline through the local OAuth proxy (no API key, no paid API); if the proxy is offline it falls back to a prompt the operator pastes into Grok manually. Validate with local model and Run Dual Review run the local model for an extra opinion and can take a few minutes under GPU load. The hardened dual advisor script itself never calls Grok over an API - the inline call lives only in the API layer through the free OAuth proxy.</w:t>
      </w:r>
    </w:p>
    <w:p>
      <w:pPr>
        <w:pStyle w:val="Heading3"/>
      </w:pPr>
      <w:r>
        <w:t>Endpoints and pages</w:t>
      </w:r>
    </w:p>
    <w:p>
      <w:r>
        <w:t>Endpoints (all advisory-only, none call a broker): GET /api/v2/rotation/summary runs the local rotation engine (cached) and returns the summary counts, data-quality, missing-sector and missing-analyst-upside counts, real rotation pairs, and per-symbol review candidates (worthless or delisted rows filtered, missing sectors backfilled from symbol_profiles). POST /api/v2/rotation/ask runs the grounded / local / oauth-prompt / dual paths via safe subprocess arguments with a hard timeout. POST /api/v2/rotation/grok-prompt builds the manual prompt. POST /api/v2/rotation/grok-review runs the inline free OAuth Grok second opinion. Pages: /v3/rotation (Rotation Intelligence) and /v3/advisor-changes (Advisor Changes), plus a Rotation tab on the Intelligence hub and a Rotation Advisor card on the Portfolio hub. All UI language is advisory - review, watch, second opinion, range unavailable - never execute, buy, sell, or place order.</w:t>
      </w:r>
    </w:p>
    <w:p>
      <w:pPr>
        <w:pStyle w:val="Heading3"/>
      </w:pPr>
      <w:r>
        <w:t>Rotation Intelligence - rebalance from research + Grok idea review (2026-06-17)</w:t>
      </w:r>
    </w:p>
    <w:p>
      <w:r>
        <w:t>Rotation Intelligence also recommends rotations into names the operator does not yet hold, sourced from research, and lets Grok review those ideas. This stays advisory: nothing is placed, no broker API is called, and no dollar amounts are invented.</w:t>
      </w:r>
    </w:p>
    <w:p>
      <w:r>
        <w:t>The rotation summary now returns two extra fields. research_candidates is the set of top non-held watchlist names with conviction - their Hermes rank, sector, analyst rating and upside - as rotate-in targets. research_rotation_ideas is a small set of advisory ROTATE_REVIEW pairs that match a trim-worthy real-ticker holding with a top research candidate; they carry no dollar amount and are explicitly flagged as not a model-supported signal, with sizing, tax and account fit left to the operator. Retirement-plan fund codes are excluded as rotate-from sources because a plan fund cannot rotate into an individual stock, and duplicate research names are removed.</w:t>
      </w:r>
    </w:p>
    <w:p>
      <w:r>
        <w:t>A new endpoint, POST /api/v2/rotation/grok-rebalance-review, sends those ideas plus the trim-holding facts and the research-candidate facts to Grok through the free OAuth proxy and asks for a per-idea verdict - reasonable to review or a poor fit, and why, considering conviction, concentration, and account or tax fit - followed by an overall WATCH or RESEARCH_MORE. It uses no API key and no paid API, invents no amounts, and calls no broker. The matching Run Grok Review and Grok Review These Ideas buttons surface the second opinions inline on the Rotation Intelligence page.</w:t>
      </w:r>
    </w:p>
    <w:p>
      <w:pPr>
        <w:pStyle w:val="Heading3"/>
      </w:pPr>
      <w:r>
        <w:t>Rotation Intelligence - sleeve balance, advisory amount ranges, continuous loop (2026-06-17)</w:t>
      </w:r>
    </w:p>
    <w:p>
      <w:r>
        <w:t>Rotation Intelligence is now sector-aware, range-aware, and continuous. Everything here stays advisory: nothing is placed, no broker API is called, no dollar amount is ever auto-executed.</w:t>
      </w:r>
    </w:p>
    <w:p>
      <w:r>
        <w:t>Sleeve balance. The rotation summary reads the portfolio look-through theme weights against operator comfort targets in config/rotation_sector_targets.json and returns sector_overweights (theme, percent, target, excess percent, excess dollars, and the top holdings driving the sleeve) and sector_underweights (theme, percent, floor, gap). A new Sleeve Balance section on the page shows the overweight sleeves with the dollars over target and the underweight sleeves with the redeploy gap. The excess dollars are a review range only - the operator confirms sizing, tax and account fit.</w:t>
      </w:r>
    </w:p>
    <w:p>
      <w:r>
        <w:t>Advisory amount ranges. Each rebalance-from-research idea now carries a review_amount_range of low, high and a basis string, computed as roughly five to fifteen percent of the trim holding's value. The card shows the range with the basis line 'advisory, operator-confirmed, not auto-placed'. No idea is ever sized or placed automatically.</w:t>
      </w:r>
    </w:p>
    <w:p>
      <w:r>
        <w:t>Continuous loop and research wiring. POST /api/v2/rotation/research-gaps seeds watch_directives for the underweight sleeves and the named rotate-in candidates so TradeAI and Hermes research the gaps; the directives feed the discovery and watchlist sweep, and the names return as rotate-in candidates. POST /api/v2/rotation/feedback records the operator's review of an idea into the llm_feedback_observations learning table. A weekly cron, scripts/rotation_rebalance_digest.py, computes the summary, seeds the research gaps and sends a Telegram digest of overweight sleeves, underweight sleeves being researched, and advisory rebalance ideas with their review ranges. It is localhost-only, uses no external network and no Grok or xAI API, and places nothing.</w:t>
      </w:r>
    </w:p>
    <w:p>
      <w:pPr>
        <w:pStyle w:val="Heading3"/>
      </w:pPr>
      <w:r>
        <w:t>Rotation Intelligence - live prices + advisory review quantities (2026-06-17)</w:t>
      </w:r>
    </w:p>
    <w:p>
      <w:r>
        <w:t>The rotation summary now attaches a live price and an advisory review share quantity to every idea and candidate, so the operator can see what a trim or add would actually look like. This stays advisory: read-only data, no broker call, no order, and no live network request from the summary request itself. Quantities are review ranges derived from the advisory dollar range; nothing is sized or placed.</w:t>
      </w:r>
    </w:p>
    <w:p>
      <w:r>
        <w:t>Prices come from the latest market_quotes row per symbol (populated by the existing quote-ingest pipeline: Alpaca, then finviz, then yfinance) with a fallback to the price and share count already in the holdings snapshot. Each rebalance idea gains a from price, a to price, the held share count, and a sell share range and buy share range computed by dividing the dollar review range by each leg's price. The card reads, for example, thirty-one ninety-three times four hundred three shares held into six sixty-eight, with two chips: review trimming roughly two hundred to six hundred shares of the source, and approximately one to three thousand shares of the target. The review and research candidates gain a price and a colored day change, and held review candidates also show an estimated share count. Symbols with no quote, such as a retirement-plan fund code, simply omit the price rather than fabricate one. The language stays advisory throughout - review trimming and approximately - never sell now or buy now.</w:t>
      </w:r>
    </w:p>
    <w:p>
      <w:pPr>
        <w:pStyle w:val="Heading3"/>
      </w:pPr>
      <w:r>
        <w:t>Rotation Intelligence - holdings degradation + independent oversight (2026-06-17)</w:t>
      </w:r>
    </w:p>
    <w:p>
      <w:r>
        <w:t>The rotate-OUT side of Rotation Intelligence is now driven by real deterioration, and the engine's recommendations get independent oversight. Everything stays advisory: read-only data, no broker call, no order, no dollar amount auto-executed.</w:t>
      </w:r>
    </w:p>
    <w:p>
      <w:r>
        <w:t>Holdings degradation. The summary joins each held name to the latest Aegis nightly brief and returns a deteriorating-holdings list plus a degradation tag on each review candidate and rebalance idea, reordering the trim pool to put deteriorating names first. Accuracy is labeled per signal: a status of triggered, danger, or warning comes from deterministic stop-distance math in aegis_surveillance (high confidence, not an LLM); a status of weakening or broken comes from a local-LLM thesis read in aegis_synthesis using ollama gemma3 (softer, about 0.55 confidence); and near-52-week-low and analyst-recommendation flags come from the nightly finviz and yahoo snapshot. The UI badge shows whether each flag is stop math or an LLM read, so the operator knows hard versus soft. The weekly digest leads with the deteriorating holdings, split into deterministic-stop and soft counts.</w:t>
      </w:r>
    </w:p>
    <w:p>
      <w:r>
        <w:t>Independent oversight layers. A new endpoint, POST /api/v2/rotation/oversight, runs two independent oversight models over the rotate-out flags, rebalance ideas, and sector overweights - a second and third opinion on the engine itself. Both are free OAuth with no API key and no paid API: Grok through the local xAI OAuth proxy, and ChatGPT through the openai-codex OAuth that is free under the operator's ChatGPT subscription, not the metered OpenAI API. The endpoint hard-restricts the lanes to Grok and ChatGPT so the paid Claude and OpenAI key paths are never used. Because the Codex CLI needs a real terminal, in the headless server it may report itself unavailable; the endpoint then returns the prompt for a manual free-web paste. Each model is asked, as an oversight layer, whether the rotate-out flags are reasonable or an over-reaction to a stop wiggle on a tiny position, whether any rebalance idea is a poor fit such as trimming an income or core holding into a speculative microcap, what is missing, and an overall AGREE, CAUTION, or DISAGREE verdict - never a dollar amount, never an order. The page shows both verdicts side by side in an Independent Oversight panel.</w:t>
      </w:r>
    </w:p>
    <w:p>
      <w:pPr>
        <w:pStyle w:val="Heading3"/>
      </w:pPr>
      <w:r>
        <w:t>ChatGPT OAuth proxy + free-OAuth lane monitor (2026-06-17)</w:t>
      </w:r>
    </w:p>
    <w:p>
      <w:r>
        <w:t>ChatGPT is now an inline free-OAuth lane, mirroring the Grok proxy. scripts/chatgpt_oauth_proxy.py runs a local OpenAI-compatible server on port 8646 that drives the operator's already-authenticated hermes openai-codex CLI inside a real pseudo-TTY. Hermes owns the OAuth; the proxy never reads or refreshes raw tokens. It is free under the ChatGPT subscription, not the metered OpenAI API, and exposes health, models, and chat-completions endpoints with a token-expired flag and a clean re-login hint when the session has ended. It runs as a user systemd service that restarts automatically, the same way the Grok xAI OAuth proxy runs on port 8645.</w:t>
      </w:r>
    </w:p>
    <w:p>
      <w:r>
        <w:t>The proxy is shared across all Hermes tasks: the external-researcher codex call now prefers the proxy and falls back to the pseudo-TTY CLI, so every Hermes task that uses the ChatGPT or codex lane - external research, curation, and rotation oversight - works headless through it. Grok was already proxy-backed.</w:t>
      </w:r>
    </w:p>
    <w:p>
      <w:r>
        <w:t>A Command-Center monitor endpoint, GET /api/v2/llm/oauth-lanes, probes all of the free OAuth lanes - Grok on 8645, ChatGPT on 8646, the Hermes Nous portal, and the local gemma lane via ollama - and returns each lane's reachable, authenticated, token-expired, status, and re-login hint. The Rotation Intelligence Independent Oversight panel shows a live lane-health strip: green for ready, amber for needs-login or session-expired, and red for offline, with a refresh control. To activate the ChatGPT lane the operator logs in once with hermes auth add openai-codex; the Hermes Nous lane is activated with hermes portal login. Everything stays advisory and free; no API key and no metered API.</w:t>
      </w:r>
    </w:p>
    <w:p>
      <w:pPr>
        <w:pStyle w:val="Heading3"/>
      </w:pPr>
      <w:r>
        <w:t>Rotation stop-risk in engine + plain-English clarity + card freshness (2026-06-18)</w:t>
      </w:r>
    </w:p>
    <w:p>
      <w:r>
        <w:t>Rotation Intelligence reconciles its valuation engine with stop risk and is clearer to read. The engine was blind to protective-stop state because the holdings snapshot carries none, so a name whose stop had broken still scored a trim of zero. The engine now accepts a stops map, which the summary builds from the latest Aegis nightly thesis, and a triggered, danger, or broken stop adds forty trim points - applied after the income and tax reductions so a broken stop is not softened. Deteriorating names now become trim-review items with real scores, and the engine and the stop signal are reconciled in a single number rather than disagreeing across columns.</w:t>
      </w:r>
    </w:p>
    <w:p>
      <w:r>
        <w:t>Each rebalance card now leads with a plain-English sentence, and the suggested size is context-aware: a five-to-fifteen-percent trim for a concentration flag, but a reduce-or-close of half to all of the position for a broken stop, with the wording changed from trim to review reducing or closing instead of suggesting a nonsensical fraction of a share on a tiny position. The summary tiles are clickable and filter the review candidates, and the word shares is spelled out.</w:t>
      </w:r>
    </w:p>
    <w:p>
      <w:r>
        <w:t>The unified symbol-card file that the engine and card layer read had no refresh job and went stale, which is why newly surfaced research candidates showed sector or analyst pending. A new refresh script, run on a weekday morning cron, refreshes the company profiles for watch-grade symbols and then materializes the card file from the symbol-cards endpoint. Research candidates now carry a sector and a description uniformly, with analyst upside where coverage exists and an honest none where a microcap has no coverage.</w:t>
      </w:r>
    </w:p>
    <w:p>
      <w:pPr>
        <w:pStyle w:val="Heading2"/>
      </w:pPr>
      <w:r>
        <w:t>Recommendation Intelligence Engine - lineage, attribution, learning (2026-06-18)</w:t>
      </w:r>
    </w:p>
    <w:p>
      <w:r>
        <w:t>The Recommendation Intelligence Engine traces every ticker from its originating internal recommendation source through execution to outcome and rotation, attributable by source, strategy, and account. It is a unification and activation layer rather than a new silo: every source already carried attribution, so the engine connects them into one auditable lineage and adds the cross-source analytics and learning that did not previously exist. Read-only with respect to trading.</w:t>
      </w:r>
    </w:p>
    <w:p>
      <w:r>
        <w:t>Data model. A self-bootstrapping schema creates a per-ticker-by-source attribution table that keeps the earliest and most recent source, an occurrence count, and an executed flag, plus a rotation-links table for the from-into edges that form rotation chains, and a source-quality table for the learning loop. The engine also reuses the existing immutable lifecycle-events spine for the append-only event history. A daily job ingests the watchlist, operator directives, proposals, scans, Hermes research, CIO decisions, rotations, holdings, and executions. As built it covers about three thousand four hundred tickers, four hundred fifteen of them surfaced by more than one source, and just over a hundred executed.</w:t>
      </w:r>
    </w:p>
    <w:p>
      <w:r>
        <w:t>Analytics and lineage. The engine reports coverage by source, return by origin source, performance by strategy, multi-source chains, and rotation links, exposed through a summary endpoint and a per-ticker provenance endpoint, and surfaced on a Recommendation Intelligence page in the command center. An early finding is that screener-originated trades materially outperform incubator-originated ones, which is exactly the source-quality signal the engine exists to surface.</w:t>
      </w:r>
    </w:p>
    <w:p>
      <w:r>
        <w:t>Lifecycle journaling and rotation outcomes. The engine appends immutable lineage events - promoted to proposal, executed, and rotated - to the lifecycle spine, shown as a lifecycle journal. For each executed rotation it measures the from-leg return against the to-leg return to answer whether rotating beat holding the original, and it assembles multi-hop rotation chains from the edges.</w:t>
      </w:r>
    </w:p>
    <w:p>
      <w:r>
        <w:t>Feedback and learning. The engine turns each origin source's realized outcomes into a bounded ranking multiplier between one half and one and a half, neutral until a minimum sample, persisted with history and written to a contract file any ranking layer can read. As built the screener is boosted and the incubator is demoted. The multiplier is wired into proposal-candidate ranking behind an opt-in environment flag that is off by default, so the learning is advisory ranking only and never changes risk gates, sizing, or whether a proposal can execute.</w:t>
      </w:r>
    </w:p>
    <w:p>
      <w:pPr>
        <w:pStyle w:val="Heading2"/>
      </w:pPr>
      <w:r>
        <w:t>Session 2026-06-19 - percent-of-equity sizing, mid-trade scaling, strategy intelligence</w:t>
      </w:r>
    </w:p>
    <w:p>
      <w:pPr>
        <w:pStyle w:val="Heading3"/>
      </w:pPr>
      <w:r>
        <w:t>Percent-of-equity sizing, admin policy, and the unified trade queue</w:t>
      </w:r>
    </w:p>
    <w:p>
      <w:r>
        <w:t>Automated position sizing was switched from fixed-dollar caps to percent-of-equity. A single sizing implementation (account_policy) reads each account's automation policy and live equity (wired for both Alpaca paper and Schwab, with a holdings-snapshot then environment fallback and a short cache) and sizes a position as the minimum of the position-cap shares (equity times the maximum position allocation percent) and the risk-cap shares (equity times the risk-per-trade percent, divided by the stop distance). The same implementation is shared by the proposal generator and the risk gate so they can never disagree, and the risk gate's dollar-size, concentration, and loss-limit checks were re-aligned to the policy so a correctly-sized position is no longer rejected. All sizing and risk controls live in the account automation policy and are editable from an admin modal in the command center, behind a two-step token confirmation with an append-only audit. Percentages are whole numbers; the legacy fixed-dollar engine remains as a per-account fallback.</w:t>
      </w:r>
    </w:p>
    <w:p>
      <w:r>
        <w:t>Automated and manual trades now share one approval queue. Every queue row carries its origin, target account, and intended broker, and a broker-aware router dispatches it: Alpaca paper executes live (paper only), Schwab is wired through the real fenced submit path but gated behind three independent locks (a queue-routing arm switch, the live-trading interlock, and the account's write flag) so nothing places until explicitly armed, and Fidelity is record-only because it has no trading API. Every approval, denial, override, and routing decision is written to an append-only decision-audit table. A Schwab and Fidelity proposals tab in the trading hub lets the operator manually submit a trade mapped to a chosen strategy into that same queue, with the same features for both brokers.</w:t>
      </w:r>
    </w:p>
    <w:p>
      <w:pPr>
        <w:pStyle w:val="Heading3"/>
      </w:pPr>
      <w:r>
        <w:t>Mid-trade scaling and Telegram order modification</w:t>
      </w:r>
    </w:p>
    <w:p>
      <w:r>
        <w:t>An operator can scale an open position in or out from the Open Trades card, with a preview-then-confirm step in both directions. Scaling is broker-routed: Alpaca paper submits the delta order and reconciles the protective stop to the new share count, computing a weighted-average entry on a scale-in and a partial realized profit-and-loss on a scale-out; Schwab is the gated path; Fidelity is record-only. A scale-in is capped at the remaining headroom under the percent-of-equity position cap. On the Telegram side, each proposal alert now offers approve, deny, half and double size presets, and modify-size and modify-risk actions that prompt for a value and re-size through the same engine, with the trade-review and policy pages linked by fully-qualified URL. Every modification is audited.</w:t>
      </w:r>
    </w:p>
    <w:p>
      <w:pPr>
        <w:pStyle w:val="Heading3"/>
      </w:pPr>
      <w:r>
        <w:t>Strategy intelligence: leaderboard, backtest integrity, targeted screens, allocation tilt</w:t>
      </w:r>
    </w:p>
    <w:p>
      <w:r>
        <w:t>A live strategy leaderboard ranks strategies by realized expectancy per closed paper trade, with the backtest sample and the latest assessment snapshot shown as context and a confidence tier by live sample size; it is the default tab of the strategy hub and includes a chart. A data-integrity fix clamped per-trade backtest r-multiples so a single near-zero-risk trade can no longer poison a strategy's expectancy, and the corrupt historical rows were repaired.</w:t>
      </w:r>
    </w:p>
    <w:p>
      <w:r>
        <w:t>To feed the live-winning strategies, which previously had no dedicated candidate source, targeted Finviz screens were added that mirror each strategy's committed entry criteria, surfacing fresh candidates into the incubator; the momentum and day-scalp screeners were deliberately left untouched. A per-strategy allocation tilt turns each strategy's live expectancy into a bounded multiplier that both re-ranks candidates and scales the risk budget toward winners, while tightening the position cap inversely so a boosted winner takes more trades rather than one oversized position; the scalp strategy is excluded from the tilt. The proposal de-duplication, which previously awarded a symbol claimed by several strategies to the highest fixed-priority strategy, now awards it by tilt-weighted score, so a winning strategy claims its overlapping symbols instead of always losing them.</w:t>
      </w:r>
    </w:p>
    <w:p>
      <w:pPr>
        <w:pStyle w:val="Heading3"/>
      </w:pPr>
      <w:r>
        <w:t>Trailing-stop integrity and money-market cash reflection</w:t>
      </w:r>
    </w:p>
    <w:p>
      <w:r>
        <w:t>The Alpaca automatic stop manager's ratchet was found to update only one of several stop columns, leaving the others and the trailing-state flags stale, and to skip any position whose newer stop column was unset; both were fixed so every ratchet stamps all stop columns and the trailing state, and no managed position is silently skipped. Separately, a Fidelity money-market sweep had been ingested by the aggregator as an ordinary position with a drifted price and a phantom loss, which also collapsed the account's look-through allocation; money-market tickers are now normalized to one-dollar net-asset-value cash on sync, and the affected account's cash is pinned to the operator-verified amount until the broker feed is trustworthy, with the account's totals reconciling cleanly afterward.</w:t>
      </w:r>
    </w:p>
    <w:p>
      <w:pPr>
        <w:pStyle w:val="Heading2"/>
      </w:pPr>
      <w:r>
        <w:t>LLM review health observability + strategy-performance gate (2026-06-19)</w:t>
      </w:r>
    </w:p>
    <w:p>
      <w:pPr>
        <w:pStyle w:val="Heading3"/>
      </w:pPr>
      <w:r>
        <w:t>LLM review health observability</w:t>
      </w:r>
    </w:p>
    <w:p>
      <w:r>
        <w:t>A read-only health endpoint surfaces the state of the three free LLM review lanes — local Ollama gemma, the Grok xAI-OAuth proxy, and the ChatGPT codex-OAuth proxy — by delegating to the existing lane-availability check rather than duplicating it, and pairs that with the realized quality of the review corpus, reported as a valid rate by model. The intent is honest observability: a degraded or expired lane shows up immediately as a lane marked unavailable and as falling corpus validity, so a silent provider outage can no longer quietly corrupt the review record. As built, all three lanes are available and the corpus is about ninety-seven percent valid.</w:t>
      </w:r>
    </w:p>
    <w:p>
      <w:pPr>
        <w:pStyle w:val="Heading3"/>
      </w:pPr>
      <w:r>
        <w:t>Strategy-performance gate on proposal generation</w:t>
      </w:r>
    </w:p>
    <w:p>
      <w:r>
        <w:t>A read-only performance gate sits in front of both proposal sources — the automated generator and the incubator promoter. A strategy with fewer than five closed paper trades is always eligible (insufficient data); a strategy with at least ten closed trades whose realized win rate has fallen below twenty-five percent stops generating new proposals until its edge recovers, and each suppression is written to an append-only suppression log surfaced on the strategy leaderboard. The gate never modifies a trade or proposal and fails open on any error. It complements the per-strategy allocation tilt: the tilt shifts candidate flow and risk budget toward live winners while tightening their position cap, and the gate is the hard floor that culls a strategy only once it has a real losing record. As built the gate is dormant — no strategy yet meets the closed-trade and win-rate thresholds — and it self-activates as the paper sample accumulates, with no further code change required.</w:t>
      </w:r>
    </w:p>
    <w:p>
      <w:pPr>
        <w:pStyle w:val="Heading2"/>
      </w:pPr>
      <w:r>
        <w:t>Session 2026-06-26 - Options Desk enterprise layer: audit fixes + snapshot retention</w:t>
      </w:r>
    </w:p>
    <w:p>
      <w:pPr>
        <w:pStyle w:val="Heading3"/>
      </w:pPr>
      <w:r>
        <w:t>Enterprise options trade desk</w:t>
      </w:r>
    </w:p>
    <w:p>
      <w:r>
        <w:t>The advisory options engine (scripts/options_engine.py) gained an enterprise trade-desk layer (scripts/options_desk_enterprise.py) that sits between proposal generation and any live submit. It adds FMP earnings-blackout checks, hard liquidity gates (open interest, volume, bid/ask spread), volatility analytics (term structure and put/call skew from the live Schwab chain), book-level greeks aggregation, a portfolio risk preflight (net-delta and per-symbol concentration caps), A/B/C desk tiering by edge score, and a database-backed operator approval queue (options_approval_queue).</w:t>
      </w:r>
    </w:p>
    <w:p>
      <w:r>
        <w:t>Live submit is fail-closed. check_preflight_approval requires a proposal to be present in the approval queue, operator-approved, and live-eligible; a missing, rejected, or non-eligible proposal is blocked. Operator approval cannot clear a proposal while enterprise blocks remain. This sits alongside, not in place of, the existing per-order 2FA and execution-guard gates.</w:t>
      </w:r>
    </w:p>
    <w:p>
      <w:pPr>
        <w:pStyle w:val="Heading3"/>
      </w:pPr>
      <w:r>
        <w:t>Post-merge audit fixes (2026-06-26)</w:t>
      </w:r>
    </w:p>
    <w:p>
      <w:r>
        <w:t>A correctness audit of the desk layer found and fixed six issues. (1) Estimated theta - used when the chain omits greeks, the common case for short premium - was not sign-flipped for short legs, so the book's net theta/day reported decay paid rather than collected; the estimator now returns long-convention (negative) theta and aggregate_book_greeks flips it for short legs, matching real chain theta. (2) The net-delta concentration check used a hardcoded assumed share price; it now derives a real dollar-delta (share-equivalent delta times each leg's actual underlying price) over book market value, consistent with the no-hardcoded-values rule. (3) The earnings-blackout cache skipped symbols added mid-window; it now fetches the missing subset so a near-earnings name cannot bypass its blackout. (4) Vol-surface snapshots stored a byte-sliced full chain that produced malformed JSON and silently failed to persist on large chains; they now store a small valid summary. (5) Snapshot retention was added (see below). (6) A proposal with no resolved chain contract - hence no verifiable fill liquidity - is never marked live-eligible, independent of the require-chain-for-live override.</w:t>
      </w:r>
    </w:p>
    <w:p>
      <w:pPr>
        <w:pStyle w:val="Heading3"/>
      </w:pPr>
      <w:r>
        <w:t>Vol-surface snapshot retention</w:t>
      </w:r>
    </w:p>
    <w:p>
      <w:r>
        <w:t>options_chain_snapshots is bounded two ways. A cheap per-symbol prune runs on each persist_chain_snapshot insert (active desk names), and a global sweep (prune_chain_snapshots) runs from the daily IV-snapshot cron (scripts/options_iv_snapshot.py, 20:16 on weekdays) to catch the tails of symbols that have gone quiet. Both honor OPTIONS_SNAPSHOT_RETENTION_DAYS (default 45). The retention logic was verified against the live database.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options_desk_enterprise.py</w:t>
            </w:r>
          </w:p>
        </w:tc>
        <w:tc>
          <w:tcPr>
            <w:tcW w:type="dxa" w:w="3120"/>
          </w:tcPr>
          <w:p>
            <w:r>
              <w:t>module</w:t>
            </w:r>
          </w:p>
        </w:tc>
        <w:tc>
          <w:tcPr>
            <w:tcW w:type="dxa" w:w="3120"/>
          </w:tcPr>
          <w:p>
            <w:r>
              <w:t>Enterprise gates, book greeks, vol analytics, approval queue, retention</w:t>
            </w:r>
          </w:p>
        </w:tc>
      </w:tr>
      <w:tr>
        <w:tc>
          <w:tcPr>
            <w:tcW w:type="dxa" w:w="3120"/>
          </w:tcPr>
          <w:p>
            <w:r>
              <w:t>options_approval_queue</w:t>
            </w:r>
          </w:p>
        </w:tc>
        <w:tc>
          <w:tcPr>
            <w:tcW w:type="dxa" w:w="3120"/>
          </w:tcPr>
          <w:p>
            <w:r>
              <w:t>DB table</w:t>
            </w:r>
          </w:p>
        </w:tc>
        <w:tc>
          <w:tcPr>
            <w:tcW w:type="dxa" w:w="3120"/>
          </w:tcPr>
          <w:p>
            <w:r>
              <w:t>Operator review/approval gate before any live options submit (fail-closed)</w:t>
            </w:r>
          </w:p>
        </w:tc>
      </w:tr>
      <w:tr>
        <w:tc>
          <w:tcPr>
            <w:tcW w:type="dxa" w:w="3120"/>
          </w:tcPr>
          <w:p>
            <w:r>
              <w:t>options_chain_snapshots</w:t>
            </w:r>
          </w:p>
        </w:tc>
        <w:tc>
          <w:tcPr>
            <w:tcW w:type="dxa" w:w="3120"/>
          </w:tcPr>
          <w:p>
            <w:r>
              <w:t>DB table</w:t>
            </w:r>
          </w:p>
        </w:tc>
        <w:tc>
          <w:tcPr>
            <w:tcW w:type="dxa" w:w="3120"/>
          </w:tcPr>
          <w:p>
            <w:r>
              <w:t>Vol-surface snapshots (ATM IV / skew / term slope); retention-bounded</w:t>
            </w:r>
          </w:p>
        </w:tc>
      </w:tr>
      <w:tr>
        <w:tc>
          <w:tcPr>
            <w:tcW w:type="dxa" w:w="3120"/>
          </w:tcPr>
          <w:p>
            <w:r>
              <w:t>/api/v2/options/desk/risk</w:t>
            </w:r>
          </w:p>
        </w:tc>
        <w:tc>
          <w:tcPr>
            <w:tcW w:type="dxa" w:w="3120"/>
          </w:tcPr>
          <w:p>
            <w:r>
              <w:t>endpoint</w:t>
            </w:r>
          </w:p>
        </w:tc>
        <w:tc>
          <w:tcPr>
            <w:tcW w:type="dxa" w:w="3120"/>
          </w:tcPr>
          <w:p>
            <w:r>
              <w:t>Book-level greeks + per-symbol concentration preflight</w:t>
            </w:r>
          </w:p>
        </w:tc>
      </w:tr>
      <w:tr>
        <w:tc>
          <w:tcPr>
            <w:tcW w:type="dxa" w:w="3120"/>
          </w:tcPr>
          <w:p>
            <w:r>
              <w:t>/api/v2/options/desk/vol-analytics | vol-history | trends</w:t>
            </w:r>
          </w:p>
        </w:tc>
        <w:tc>
          <w:tcPr>
            <w:tcW w:type="dxa" w:w="3120"/>
          </w:tcPr>
          <w:p>
            <w:r>
              <w:t>endpoint</w:t>
            </w:r>
          </w:p>
        </w:tc>
        <w:tc>
          <w:tcPr>
            <w:tcW w:type="dxa" w:w="3120"/>
          </w:tcPr>
          <w:p>
            <w:r>
              <w:t>Term structure, put/call skew, and IV trends from the live Schwab chain</w:t>
            </w:r>
          </w:p>
        </w:tc>
      </w:tr>
      <w:tr>
        <w:tc>
          <w:tcPr>
            <w:tcW w:type="dxa" w:w="3120"/>
          </w:tcPr>
          <w:p>
            <w:r>
              <w:t>/api/v2/options/approval-queue (+ /resolve)</w:t>
            </w:r>
          </w:p>
        </w:tc>
        <w:tc>
          <w:tcPr>
            <w:tcW w:type="dxa" w:w="3120"/>
          </w:tcPr>
          <w:p>
            <w:r>
              <w:t>endpoint</w:t>
            </w:r>
          </w:p>
        </w:tc>
        <w:tc>
          <w:tcPr>
            <w:tcW w:type="dxa" w:w="3120"/>
          </w:tcPr>
          <w:p>
            <w:r>
              <w:t>List pending desk approvals; operator approve/reject</w:t>
            </w:r>
          </w:p>
        </w:tc>
      </w:tr>
    </w:tbl>
    <w:p>
      <w:pPr>
        <w:pStyle w:val="Heading3"/>
      </w:pPr>
      <w:r>
        <w:t>References</w:t>
      </w:r>
    </w:p>
    <w:p>
      <w:r>
        <w:t>Detail: docs/options-module.md; docs/CHANGELOG.md (2026-06-26 entries); migrations/2026_06_25_options_desk_enterprise.sql. Commits: e01e9847 (audit fixes), 081ec19d (global retention sweep).</w:t>
      </w:r>
    </w:p>
    <w:p>
      <w:pPr>
        <w:pStyle w:val="Heading2"/>
      </w:pPr>
      <w:r>
        <w:t>Pullback / MACD Reversal Screener (2026-06-26)</w:t>
      </w:r>
    </w:p>
    <w:p>
      <w:pPr>
        <w:pStyle w:val="Heading3"/>
      </w:pPr>
      <w:r>
        <w:t>Strategy</w:t>
      </w:r>
    </w:p>
    <w:p>
      <w:r>
        <w:t>An S&amp;P 500 counter-trend dip-buy screener. It finds names in a standing uptrend (close &gt; SMA200, SMA50 &gt; SMA200 and rising) that have pulled back into a 12-28% band off their 52-week high, then confirms the EARLIEST recovery: the MACD histogram has turned up off the pullback (inflection — still pre-cross) AND price is holding above intraday session VWAP. Requiring the inflection rather than waiting for the cross catches the move earlier; VWAP is the price-action confirmation. Two tiers: trigger (both confirmed) and watch (in pullback, not yet confirmed).</w:t>
      </w:r>
    </w:p>
    <w:p>
      <w:pPr>
        <w:pStyle w:val="Heading3"/>
      </w:pPr>
      <w:r>
        <w:t>Authoritative levels &amp; advisory proposals</w:t>
      </w:r>
    </w:p>
    <w:p>
      <w:r>
        <w:t>Levels are technical, never generic R:R geometry: stop = recent swing-low support, target = retrace toward the 52-week high. Each emitted proposal also writes a trade_plans row, which broker_trade_plan_gate resolves as authoritative (plan_source=trade_plans) — clearing the system-wide 'no authoritative trade plan / gambling-blocked' route block. Proposals are advisory (PENDING, manual), trigger-tier only, ranked by score and hard-capped per scan (max_proposals_per_scan) because each PENDING proposal triggers the local+cloud LLM oversight fleet.</w:t>
      </w:r>
    </w:p>
    <w:p>
      <w:pPr>
        <w:pStyle w:val="Heading3"/>
      </w:pPr>
      <w:r>
        <w:t>Intraday monitoring &amp; in-trade adjustments</w:t>
      </w:r>
    </w:p>
    <w:p>
      <w:r>
        <w:t>A daily post-close scan sets the pullback universe; an hourly intraday monitor (run_pullback_macd_monitor.sh, cron 35 9-15 weekdays, market_day_gate so it runs trading days only) keeps everything in sync with the live tape. It refreshes proposals that still fit the plan, expires those that don't (off-trigger, or price hit/broke stop/target), and catches new intraday triggers. While IN a trade, _adjust_open_trades writes advisory guidance to pullback_trade_adjustments for each open position: trail the stop up (swing-low / breakeven / under-VWAP, raise-only), take-profit at target, or exit on thesis break (lost VWAP or MACD rolling back down). It is advisory only — it never modifies a live stop; the operator and ATM stop manager retain control.</w:t>
      </w:r>
    </w:p>
    <w:p>
      <w:pPr>
        <w:pStyle w:val="Heading3"/>
      </w:pPr>
      <w:r>
        <w:t>Monitoring &amp; surfaces</w:t>
      </w:r>
    </w:p>
    <w:p>
      <w:r>
        <w:t>Health collectors cover freshness (pullback_macd_scan_stale, universe size) and a proposal-burst guard (proposal_creation_burst) that flags bulk proposal creation before it can overload the single-threaded server. The Command Center 'Pullback/MACD' tab shows trigger/watch cards with pullback and VWAP banners plus run-scan/dismiss controls.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pullback_macd_screener.py</w:t>
            </w:r>
          </w:p>
        </w:tc>
        <w:tc>
          <w:tcPr>
            <w:tcW w:type="dxa" w:w="3120"/>
          </w:tcPr>
          <w:p>
            <w:r>
              <w:t>engine</w:t>
            </w:r>
          </w:p>
        </w:tc>
        <w:tc>
          <w:tcPr>
            <w:tcW w:type="dxa" w:w="3120"/>
          </w:tcPr>
          <w:p>
            <w:r>
              <w:t>Daily scan + intraday --monitor; signals, proposals, reconciliation, in-trade adjustments</w:t>
            </w:r>
          </w:p>
        </w:tc>
      </w:tr>
      <w:tr>
        <w:tc>
          <w:tcPr>
            <w:tcW w:type="dxa" w:w="3120"/>
          </w:tcPr>
          <w:p>
            <w:r>
              <w:t>pullback_macd_candidates / _runs</w:t>
            </w:r>
          </w:p>
        </w:tc>
        <w:tc>
          <w:tcPr>
            <w:tcW w:type="dxa" w:w="3120"/>
          </w:tcPr>
          <w:p>
            <w:r>
              <w:t>DB tables</w:t>
            </w:r>
          </w:p>
        </w:tc>
        <w:tc>
          <w:tcPr>
            <w:tcW w:type="dxa" w:w="3120"/>
          </w:tcPr>
          <w:p>
            <w:r>
              <w:t>Ranked candidates (trigger/watch) + run audit</w:t>
            </w:r>
          </w:p>
        </w:tc>
      </w:tr>
      <w:tr>
        <w:tc>
          <w:tcPr>
            <w:tcW w:type="dxa" w:w="3120"/>
          </w:tcPr>
          <w:p>
            <w:r>
              <w:t>trade_plans (generated_by=pullback)</w:t>
            </w:r>
          </w:p>
        </w:tc>
        <w:tc>
          <w:tcPr>
            <w:tcW w:type="dxa" w:w="3120"/>
          </w:tcPr>
          <w:p>
            <w:r>
              <w:t>DB rows</w:t>
            </w:r>
          </w:p>
        </w:tc>
        <w:tc>
          <w:tcPr>
            <w:tcW w:type="dxa" w:w="3120"/>
          </w:tcPr>
          <w:p>
            <w:r>
              <w:t>Authoritative technical levels → clears the trade-plan gate</w:t>
            </w:r>
          </w:p>
        </w:tc>
      </w:tr>
      <w:tr>
        <w:tc>
          <w:tcPr>
            <w:tcW w:type="dxa" w:w="3120"/>
          </w:tcPr>
          <w:p>
            <w:r>
              <w:t>pullback_trade_adjustments</w:t>
            </w:r>
          </w:p>
        </w:tc>
        <w:tc>
          <w:tcPr>
            <w:tcW w:type="dxa" w:w="3120"/>
          </w:tcPr>
          <w:p>
            <w:r>
              <w:t>DB table</w:t>
            </w:r>
          </w:p>
        </w:tc>
        <w:tc>
          <w:tcPr>
            <w:tcW w:type="dxa" w:w="3120"/>
          </w:tcPr>
          <w:p>
            <w:r>
              <w:t>Advisory trail/TP/exit guidance for OPEN positions</w:t>
            </w:r>
          </w:p>
        </w:tc>
      </w:tr>
      <w:tr>
        <w:tc>
          <w:tcPr>
            <w:tcW w:type="dxa" w:w="3120"/>
          </w:tcPr>
          <w:p>
            <w:r>
              <w:t>/api/v2/pullback-macd/{candidates,adjustments,scan,dismiss}</w:t>
            </w:r>
          </w:p>
        </w:tc>
        <w:tc>
          <w:tcPr>
            <w:tcW w:type="dxa" w:w="3120"/>
          </w:tcPr>
          <w:p>
            <w:r>
              <w:t>endpoints</w:t>
            </w:r>
          </w:p>
        </w:tc>
        <w:tc>
          <w:tcPr>
            <w:tcW w:type="dxa" w:w="3120"/>
          </w:tcPr>
          <w:p>
            <w:r>
              <w:t>Tab data + manage actions</w:t>
            </w:r>
          </w:p>
        </w:tc>
      </w:tr>
      <w:tr>
        <w:tc>
          <w:tcPr>
            <w:tcW w:type="dxa" w:w="3120"/>
          </w:tcPr>
          <w:p>
            <w:r>
              <w:t>Command Center 'Pullback/MACD' tab</w:t>
            </w:r>
          </w:p>
        </w:tc>
        <w:tc>
          <w:tcPr>
            <w:tcW w:type="dxa" w:w="3120"/>
          </w:tcPr>
          <w:p>
            <w:r>
              <w:t>UI</w:t>
            </w:r>
          </w:p>
        </w:tc>
        <w:tc>
          <w:tcPr>
            <w:tcW w:type="dxa" w:w="3120"/>
          </w:tcPr>
          <w:p>
            <w:r>
              <w:t>Trigger/watch cards, pullback + VWAP banners, manage controls</w:t>
            </w:r>
          </w:p>
        </w:tc>
      </w:tr>
      <w:tr>
        <w:tc>
          <w:tcPr>
            <w:tcW w:type="dxa" w:w="3120"/>
          </w:tcPr>
          <w:p>
            <w:r>
              <w:t>run_pullback_macd_monitor.sh</w:t>
            </w:r>
          </w:p>
        </w:tc>
        <w:tc>
          <w:tcPr>
            <w:tcW w:type="dxa" w:w="3120"/>
          </w:tcPr>
          <w:p>
            <w:r>
              <w:t>cron 35 9-15</w:t>
            </w:r>
          </w:p>
        </w:tc>
        <w:tc>
          <w:tcPr>
            <w:tcW w:type="dxa" w:w="3120"/>
          </w:tcPr>
          <w:p>
            <w:r>
              <w:t>Hourly intraday monitor, trading-days only</w:t>
            </w:r>
          </w:p>
        </w:tc>
      </w:tr>
    </w:tbl>
    <w:p>
      <w:pPr>
        <w:pStyle w:val="Heading3"/>
      </w:pPr>
      <w:r>
        <w:t>References</w:t>
      </w:r>
    </w:p>
    <w:p>
      <w:r>
        <w:t>Detail: docs/PULLBACK_MACD_SCREENER.md; docs/CHANGELOG.md (2026-06-26 entries).</w:t>
      </w:r>
    </w:p>
    <w:p>
      <w:pPr>
        <w:pStyle w:val="Heading2"/>
      </w:pPr>
      <w:r>
        <w:t>Execution-safety hardening to maturity 4.95 (PO/P0/P1, 2026-06-27)</w:t>
      </w:r>
    </w:p>
    <w:p>
      <w:r>
        <w:t>A focused hardening pass raised the platform's independently-scored execution maturity from a release-blocked 3.75 to 4.95 out of 5, landed on main through pull request six (merge commit fbe2048e) with the release-readiness CI workflow green. The exercise changed no trading behaviour and crossed no live broker write path; it made the safety architecture that already existed legible, machine-provable, and resistant to the failure modes that let a plausible-but-wrong artifact pass as evidence. The operator confirmation and two-factor path was treated as immutable throughout — it was neither widened, weakened, nor bypassed — and large-language models remain advisory only, unable to unlock execution.</w:t>
      </w:r>
    </w:p>
    <w:p>
      <w:pPr>
        <w:pStyle w:val="Heading3"/>
      </w:pPr>
      <w:r>
        <w:t>Readiness, evidence binding, and broker-truth</w:t>
      </w:r>
    </w:p>
    <w:p>
      <w:r>
        <w:t>Central execution readiness now evaluates in four explicit modes — preflight, submit, dry-run, and audit — so that an order awaiting the operator's confirmation is reported as operator-required rather than conflated with a deterministic safety block. The transport uses submit-mode, which fails closed and hard-requires the two-factor state before an order can become submit-ready; an unrecognised mode is treated as the strictest submit path rather than defaulting open. Operator approval is bound to its evidence through separate, like-to-like hashes — approval bundle, readiness, quote, risk, chain, and model are each hashed and revalidated against their own kind — so a quote that drifts past tolerance, a changed risk posture, a materially different option chain, an expired or reused approval, or a kill switch flipped after approval each blocks the submit, and an evidence bundle that cannot be regenerated fails closed instead of being trusted. Broker truth is authoritative after submit: order state is normalised across the full Schwab status taxonomy, partial fills are preserved explicitly, nothing is marked filled or working ahead of the broker's own acknowledgement, and an idempotency fence plus a repeatable reconciliation report prevent internal state from outrunning the broker.</w:t>
      </w:r>
    </w:p>
    <w:p>
      <w:pPr>
        <w:pStyle w:val="Heading3"/>
      </w:pPr>
      <w:r>
        <w:t>Release readiness, the maturity score, and the self-referential fixpoint</w:t>
      </w:r>
    </w:p>
    <w:p>
      <w:r>
        <w:t>Release readiness is now tri-state — PASS, WARN_NON_LIVE_ADJACENT, or FAIL — and distinguishes a clean tree from one whose only dirty files are the regenerated diligence and evidence artifacts. Any dirty live-broker, secrets, or execution-adjacent source is a hard FAIL; documented runtime-generated artifacts are a justified non-live-adjacent warning that does not gate a release. The maturity score is a transparent weighted computation bounded by hard caps that can only lower it: a release FAIL caps it at 3.75, an uncommitted live-adjacent file caps it at 4.0, a missing readiness resolver or a failed no-bypass or write-policy check caps it lower still. The single insight that unlocked the score was that the platform was being held at 3.75 not by any defect but by five verified-yet-uncommitted broker scripts; committing them cleared the caps and the evidence earned 4.95. The diligence pack and release manifest are themselves generated artifacts, which produces a deliberate fixpoint: a clean checkout validates PASS, while any committed manifest necessarily reads WARN_NON_LIVE_ADJACENT because the act of generating it dirties itself — an honest, explicitly-justified state, not a defect.</w:t>
      </w:r>
    </w:p>
    <w:p>
      <w:pPr>
        <w:pStyle w:val="Heading3"/>
      </w:pPr>
      <w:r>
        <w:t>Continuous proof and the source-only CI sandbox</w:t>
      </w:r>
    </w:p>
    <w:p>
      <w:r>
        <w:t>A single read-only proof now exists both locally and in GitHub Actions: it runs execution-state, release readiness, the Schwab write-policy validator, the no-broker-write-bypass scan, the evidence and readiness test suites, the order-lifecycle and reconciliation fixtures, the options hard-risk matrix, the audit-ledger chain, and a frontend smoke check, emitting one Markdown-and-JSON report with per-step command, exit code, duration, and result. Because a clean CI sandbox has no application database, the two write-policy guards that assert live deployment posture cannot run there; rather than fake a database — which would let those guards pass trivially and prove nothing — a source-only mode runs every code and source-level fence and skips the two database-state guards loudly, never silently passing them, deferring their proof to the deployed run where the validator scores a full twenty-seven of twenty-seven. The exit code propagates honestly, so the proof can no longer report green while its own report says fail. As built the workflow is green and the deployed proof is a full pass, with no broker writes performed at any point.</w:t>
      </w:r>
    </w:p>
    <w:p>
      <w:pPr>
        <w:pStyle w:val="Heading2"/>
      </w:pPr>
      <w:r>
        <w:t>Social → Momentum Scalp lifecycle hardening (2026-06-28)</w:t>
      </w:r>
    </w:p>
    <w:p>
      <w:r>
        <w:t>A focused pass closed the lifecycle gaps in the intraday Momentum Scalp strategy and the Social Scalp discovery path that feeds it, landed on main through pull requests seven and eight with the release-readiness CI green. The work changed no trading behaviour and crossed no live broker write path; social-only signals remain advisory and can never become auto-tradeable without deterministic confirmation, large-language models remain advisory only, and the operator confirmation and two-factor path was treated as immutable throughout. The independently-scored lifecycle maturity rose from roughly four to 4.4 out of five — the engineering earns a raw weighted five, but the score is honestly capped at 4.4 because the empirical validation sample is still accumulating: Momentum Scalp stays in TESTING until it has at least thirty closed paper trades over six months, and the score does not pretend otherwise.</w:t>
      </w:r>
    </w:p>
    <w:p>
      <w:pPr>
        <w:pStyle w:val="Heading3"/>
      </w:pPr>
      <w:r>
        <w:t>One source of truth, enforced before approval</w:t>
      </w:r>
    </w:p>
    <w:p>
      <w:r>
        <w:t>The strategy's intraday execution block is now the single source of truth for the trading window, the proposal time-to-live, the fast-path account, and the maximum price drift; a config validator fails the build whenever another block contradicts it, so the float ceiling, the entry window, and the thirty-minute proposal life can no longer drift apart. The automated approver consults that thirty-minute time-to-live before every approval decision: a scalp proposal older than its window is expired and recorded as such, and can never be approved, while the legacy four-hour rule survives only as a fallback for non-intraday proposals. A scalp whose freshness cannot even be established is blocked rather than approved. Liquidity is treated the same way — for this liquidity- and time-sensitive strategy a missing, stale, or errored quote now defers the proposal instead of failing open, and an operator force override is always logged, never silent.</w:t>
      </w:r>
    </w:p>
    <w:p>
      <w:pPr>
        <w:pStyle w:val="Heading3"/>
      </w:pPr>
      <w:r>
        <w:t>Social discipline, explicit routing, and end-to-end lineage</w:t>
      </w:r>
    </w:p>
    <w:p>
      <w:r>
        <w:t>On the discovery side, alerting now keys off the final, capped decision rather than the raw score, so a social-only surge that has been downgraded for lack of a verified catalyst can no longer masquerade as an actionable signal or mirror itself into the proposals channel. A deterministic routing policy sends each social candidate to exactly one destination — watch-only, the micro-cap momentum scalp, a manual-review meme-squeeze path, the portfolio agents, or rejection — and an unverified catalyst can never reach an actionable route. Every social candidate now carries a stable discovery trace identifier that is threaded the whole length of the pipeline, from the social scan through the harmonised scan record, the strategy signal, the proposal, and finally the paper trade, so a single candidate's journey can be reconstructed end to end. A funnel report, a transparent capped maturity score, and a bounded advisory outcome-learning loop turn that lineage into evidence — and none of it can unlock execution or loosen a deterministic gate.</w:t>
      </w:r>
    </w:p>
    <w:p>
      <w:pPr>
        <w:pStyle w:val="Heading2"/>
      </w:pPr>
      <w:r>
        <w:t>Scalp route persistence, large-float scout &amp; paper conversion (2026-06-28)</w:t>
      </w:r>
    </w:p>
    <w:p>
      <w:r>
        <w:t>A further pass completed the Social to Momentum Scalp lifecycle so the system generates both regular micro-float momentum scalps and social-derived scalps optimally, safely, and traceably, and so that names too large to be standard scalps are kept and labelled rather than discarded. The work landed through pull request ten with the release-readiness CI green. It preserved the earlier honest correction — there are still only two confirmed closed momentum scalp paper trades against a thirty-trade gate — so the combined lifecycle remains at 4.4 out of five: the engineering is mature, the empirical sample is not. No order behaviour changed, no live broker path was touched, quote-freshness and the time-to-live, liquidity, and trading-window gates were not weakened, and the operator confirmation and two-factor path remained immutable and out of scope.</w:t>
      </w:r>
    </w:p>
    <w:p>
      <w:pPr>
        <w:pStyle w:val="Heading3"/>
      </w:pPr>
      <w:r>
        <w:t>Durable routing, the large-float scout, and route-aware injection</w:t>
      </w:r>
    </w:p>
    <w:p>
      <w:r>
        <w:t>Every social candidate is now routed by a single deterministic policy whose decision is persisted as first-class columns on the scan records, so a candidate's route, actionability, owning strategy, reason codes, and catalyst-verification state travel with it for audit and downstream optimisation. The standard momentum scalp is now strictly a micro-float setup — twenty million shares or fewer with a verified catalyst — and the legacy fallback that could infer a momentum scalp for floats up to a hundred million, with no catalyst requirement, was removed. A verified name whose float is above that micro-cap ceiling is no longer thrown away: it is retained as a large-float social scout, clearly labelled LARGE FLOAT and routed to manual review, so the operator sees it for what it is and it can never masquerade as, or be fast-pathed as, a standard low-float scalp. The live runner now injects social candidates by route rather than by score alone: only a verified micro-cap GO enters the tradeable path; large-float scouts enter as labelled manual-review candidates; and social-only names remain advisory, never actionable. Signal creation enforces the same durable route, so a watch-only or scout candidate can never become a standard momentum scalp signal further down the pipeline.</w:t>
      </w:r>
    </w:p>
    <w:p>
      <w:pPr>
        <w:pStyle w:val="Heading3"/>
      </w:pPr>
      <w:r>
        <w:t>The paper conversion path and the freshness timing gap</w:t>
      </w:r>
    </w:p>
    <w:p>
      <w:r>
        <w:t>Diagnosis confirmed the conversion bottleneck is operational timing, not a defective gate: proposals reach the approver after their quote has gone stale, and the approval correctly refuses to act on a stale quote. A freshness service-level report makes this concrete — the failures are stale-quote refusals rather than time-to-live expiries, the median time from proposal creation to first approval attempt is about ten minutes with a long tail, and only a handful of proposals would have remained fresh had the approver run within a few minutes of creation. The response was a safe, paper-only, dry-run-first fast runner that finds a fresh, in-window, micro-cap momentum scalp proposal and routes it through the existing approval path before the thirty-minute time-to-live, reusing the existing risk and approval logic rather than reimplementing it, and rejecting anything stale, expired, out-of-window, social-only, or large-float. It never reaches the live broker path. The remaining gap to a higher maturity is therefore empirical and operational: accumulate enough confirmed closed paper trades by running that fresh, in-window approval cadence — not by loosening any safety gate.</w:t>
      </w:r>
    </w:p>
    <w:p>
      <w:pPr>
        <w:pStyle w:val="Heading2"/>
      </w:pPr>
      <w:r>
        <w:t>Momentum Scalp validation taxonomy normalization (2026-06-28)</w:t>
      </w:r>
    </w:p>
    <w:p>
      <w:r>
        <w:t>An operator-facing terminology pass renamed the momentum-scalp sample-collection lifecycle from "paper" to "validation". The word paper was misleading: this path has nothing to do with operator approval or live trading — it is sandbox/simulated strategy-validation execution used to gather an empirical sample before a strategy can be promoted. The canonical lifecycle terms are now validation execution, validation fast path, simulated validation trade, validation sample, sandbox validation account, and validation tracker. No database was renamed: the legacy storage and adapters (the paper_trades table, the paper-named submitter and logger modules, and the alpaca_paper sandbox account identifier) remain in place and are documented as backward-compatibility aliases, with clean validation-named wrapper modules layered over them. The change was committed through pull request thirteen with the release-readiness CI green, and a taxonomy audit now fails the build if forbidden operator-facing paper phrasing reappears outside those allowed legacy contexts.</w:t>
      </w:r>
    </w:p>
    <w:p>
      <w:pPr>
        <w:pStyle w:val="Heading3"/>
      </w:pPr>
      <w:r>
        <w:t>What did and did not change</w:t>
      </w:r>
    </w:p>
    <w:p>
      <w:r>
        <w:t>The canonical validation fast path is a thin wrapper over the existing deterministic gate logic — it reuses exactly the same gates (verified micro-float route, intraday window, time-to-live, quote freshness, price drift, liquidity, trade-plan and reward-to-risk checks) so nothing was weakened, and a compatibility test proves the old and new entry points produce identical decisions. Reports and the config now speak in validation terms (validation_fast_path metrics, confirmed closed validation trades, a validation gate) while keeping legacy field names as documented aliases. A read-only validation operations report and a supplementary deterministic quality gate were added. Crucially, none of this touches live execution: validation is sandbox/simulated only, validation sample collection needs no human approval because deterministic gates replace it, but promotion off TESTING still requires human review and any live trading still requires the unchanged operator-confirmation and two-factor path. Large-float social scouts remain manual-review only and social-only candidates remain watch/wait only. Maturity is unchanged at 4.4 of five — the remaining gap is empirical sample collection, now framed honestly as validation, not approval.</w:t>
      </w:r>
    </w:p>
    <w:p>
      <w:pPr>
        <w:pStyle w:val="Heading2"/>
      </w:pPr>
      <w:r>
        <w:t>Session 2026-07-03/04 - Decision-surface redesign: shared card grammar (watchlist, proposals, stops)</w:t>
      </w:r>
    </w:p>
    <w:p>
      <w:pPr>
        <w:pStyle w:val="Heading3"/>
      </w:pPr>
      <w:r>
        <w:t>One decision grammar across the three money surfaces</w:t>
      </w:r>
    </w:p>
    <w:p>
      <w:r>
        <w:t>The Command Center v3 watchlist card, broker-proposal card, and stop-management expanded row now share one visual and semantic grammar, rendered from a single primitives module (components/primitives/cardPrimitives.tsx). Each surface answers, in its first two lines, what the item is, what the operator should do, and why; supporting detail lives in a 2x2 module grid and evidence lives behind expanders. Color is signal-only: teal = actionable, amber = caution, red = hard defect, green = price numerals. All three formats are operator-LOCKED: data wiring and bug fixes only, no unprompted layout changes.</w:t>
      </w:r>
    </w:p>
    <w:p>
      <w:r>
        <w:t>Each card's tinted banner is driven by a priority-ordered decision matrix (first match wins). Watchlist: private -&gt; no-stop -&gt; incoherent plan (target&lt;=limit) -&gt; price drift &gt;15% -&gt; thin R:R -&gt; stale/doubt -&gt; CIO-avoid -&gt; READY. Proposals: expired/rejected STALE -&gt; gate/oversight BLOCKED -&gt; price-drift FIX -&gt; oversized FIX -&gt; earnings CAUTION -&gt; reviews-pending WAIT -&gt; READY. Stops: NO STOP -&gt; broker-looser REVIEW -&gt; earnings &lt;=7d -&gt; stale-advisory REVIEW -&gt; PROTECTED/MONITORED. Phase A extracted the primitives with a Playwright pixel-diff regression against the locked watchlist card (zero differing pixels).</w:t>
      </w:r>
    </w:p>
    <w:p>
      <w:pPr>
        <w:pStyle w:val="Heading3"/>
      </w:pPr>
      <w:r>
        <w:t>Cross-surface trust and intelligence context</w:t>
      </w:r>
    </w:p>
    <w:p>
      <w:r>
        <w:t>Decision context that previously lived only on the watchlist card now rides every surface: held-position awareness (a proposal that adds to an existing position says so, in amber), earnings proximity (amber within 7 days; on the stop surface it reads as gap risk - a stop does not protect through an earnings print), catalyst and news headlines, LLM-advisory age flags (stop advisory &gt;48h and holdings health &gt;72h render stale warnings), and an exit ladder for held longs (T1 = +1R off the effective stop, T2 = Street mean, T3 = Street high, stop to breakeven at +1R). Sizing is unified on percent-of-equity position caps: the per-account policy number (account_automation_policies.max_position_allocation_pct) is served to the UI and enforced identically by the card sizing table, the propose modal (hard block, no override), and the backend generator; the generator additionally down-shifts risk on wide stops (&gt;7% -&gt; x0.75, &gt;10% -&gt; x0.5 via tilt, recorded in sizing_basis).</w:t>
      </w:r>
    </w:p>
    <w:p>
      <w:pPr>
        <w:pStyle w:val="Heading3"/>
      </w:pPr>
      <w:r>
        <w:t>Plan and proposal freshness enforcement</w:t>
      </w:r>
    </w:p>
    <w:p>
      <w:r>
        <w:t>Stale levels are now detected and repaired rather than displayed: watchlist cards flag incoherent plans (target at or below limit) and price drift beyond 15% as FIX states with a Rebuild Plan action; a nightly re-validator (plan_drift_revalidator.py, weekdays 17:25) re-plans defective entries in subprocess batches; and the proposal sweeper auto-rejects PENDING proposals older than 4 hours whose live price has drifted more than 15% from the proposed entry. Holdings changes trigger narrative re-synthesis and health refreshes automatically (holdings_change_trigger.py), with the synthesis maturity gates (final_synthesis_status AND analysis_stage) reset on every re-queue path so re-run agents always re-synthesize.</w:t>
      </w:r>
    </w:p>
    <w:p>
      <w:pPr>
        <w:pStyle w:val="Heading3"/>
      </w:pPr>
      <w:r>
        <w:t>Artifacts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components/primitives/cardPrimitives.tsx</w:t>
            </w:r>
          </w:p>
        </w:tc>
        <w:tc>
          <w:tcPr>
            <w:tcW w:type="dxa" w:w="3120"/>
          </w:tcPr>
          <w:p>
            <w:r>
              <w:t>module</w:t>
            </w:r>
          </w:p>
        </w:tc>
        <w:tc>
          <w:tcPr>
            <w:tcW w:type="dxa" w:w="3120"/>
          </w:tcPr>
          <w:p>
            <w:r>
              <w:t>Shared primitives: VerdictBanner, LadderLine, TrustLine, AgeChip — single source for all three decision surfaces</w:t>
            </w:r>
          </w:p>
        </w:tc>
      </w:tr>
      <w:tr>
        <w:tc>
          <w:tcPr>
            <w:tcW w:type="dxa" w:w="3120"/>
          </w:tcPr>
          <w:p>
            <w:r>
              <w:t>lib/watchlistCardAction.ts / lib/proposalCardAction.ts</w:t>
            </w:r>
          </w:p>
        </w:tc>
        <w:tc>
          <w:tcPr>
            <w:tcW w:type="dxa" w:w="3120"/>
          </w:tcPr>
          <w:p>
            <w:r>
              <w:t>module</w:t>
            </w:r>
          </w:p>
        </w:tc>
        <w:tc>
          <w:tcPr>
            <w:tcW w:type="dxa" w:w="3120"/>
          </w:tcPr>
          <w:p>
            <w:r>
              <w:t>Priority-ordered decision matrices driving each card's verdict banner (first match wins; red reserved for hard defects)</w:t>
            </w:r>
          </w:p>
        </w:tc>
      </w:tr>
      <w:tr>
        <w:tc>
          <w:tcPr>
            <w:tcW w:type="dxa" w:w="3120"/>
          </w:tcPr>
          <w:p>
            <w:r>
              <w:t>WatchlistCard.tsx (Security Card v3)</w:t>
            </w:r>
          </w:p>
        </w:tc>
        <w:tc>
          <w:tcPr>
            <w:tcW w:type="dxa" w:w="3120"/>
          </w:tcPr>
          <w:p>
            <w:r>
              <w:t>component</w:t>
            </w:r>
          </w:p>
        </w:tc>
        <w:tc>
          <w:tcPr>
            <w:tcW w:type="dxa" w:w="3120"/>
          </w:tcPr>
          <w:p>
            <w:r>
              <w:t>LOCKED format: header / tinted banner / 2x2 grid (Trade Plan | Sizing, Conviction | Intelligence) / footer</w:t>
            </w:r>
          </w:p>
        </w:tc>
      </w:tr>
      <w:tr>
        <w:tc>
          <w:tcPr>
            <w:tcW w:type="dxa" w:w="3120"/>
          </w:tcPr>
          <w:p>
            <w:r>
              <w:t>BrokerProposalCard.tsx (rebuilt, PR #80)</w:t>
            </w:r>
          </w:p>
        </w:tc>
        <w:tc>
          <w:tcPr>
            <w:tcW w:type="dxa" w:w="3120"/>
          </w:tcPr>
          <w:p>
            <w:r>
              <w:t>component</w:t>
            </w:r>
          </w:p>
        </w:tc>
        <w:tc>
          <w:tcPr>
            <w:tcW w:type="dxa" w:w="3120"/>
          </w:tcPr>
          <w:p>
            <w:r>
              <w:t>LOCKED format: header / banner / 2x2 grid (Order &amp; Levels | Sizing &amp; Fit, Intelligence | Gates &amp; Reviews) / provenance footer + evidence expander</w:t>
            </w:r>
          </w:p>
        </w:tc>
      </w:tr>
      <w:tr>
        <w:tc>
          <w:tcPr>
            <w:tcW w:type="dxa" w:w="3120"/>
          </w:tcPr>
          <w:p>
            <w:r>
              <w:t>StopManagement.tsx expanded row (PR #81)</w:t>
            </w:r>
          </w:p>
        </w:tc>
        <w:tc>
          <w:tcPr>
            <w:tcW w:type="dxa" w:w="3120"/>
          </w:tcPr>
          <w:p>
            <w:r>
              <w:t>component</w:t>
            </w:r>
          </w:p>
        </w:tc>
        <w:tc>
          <w:tcPr>
            <w:tcW w:type="dxa" w:w="3120"/>
          </w:tcPr>
          <w:p>
            <w:r>
              <w:t>LOCKED format: verdict banner (NO STOP/REVIEW/EARNINGS/PROTECTED) + 2x2 panel (Protection | Exit Plan, Health | Context) + collapsed-row amber scan chips</w:t>
            </w:r>
          </w:p>
        </w:tc>
      </w:tr>
      <w:tr>
        <w:tc>
          <w:tcPr>
            <w:tcW w:type="dxa" w:w="3120"/>
          </w:tcPr>
          <w:p>
            <w:r>
              <w:t>_broker_enrich_trust_rows (api_v2.py)</w:t>
            </w:r>
          </w:p>
        </w:tc>
        <w:tc>
          <w:tcPr>
            <w:tcW w:type="dxa" w:w="3120"/>
          </w:tcPr>
          <w:p>
            <w:r>
              <w:t>enrichment</w:t>
            </w:r>
          </w:p>
        </w:tc>
        <w:tc>
          <w:tcPr>
            <w:tcW w:type="dxa" w:w="3120"/>
          </w:tcPr>
          <w:p>
            <w:r>
              <w:t>Proposal rows: held_shares_in_account/_total, next_earnings_date, catalyst_title/at (both cache paths)</w:t>
            </w:r>
          </w:p>
        </w:tc>
      </w:tr>
      <w:tr>
        <w:tc>
          <w:tcPr>
            <w:tcW w:type="dxa" w:w="3120"/>
          </w:tcPr>
          <w:p>
            <w:r>
              <w:t>stops/management row enrichment (api_v2.py)</w:t>
            </w:r>
          </w:p>
        </w:tc>
        <w:tc>
          <w:tcPr>
            <w:tcW w:type="dxa" w:w="3120"/>
          </w:tcPr>
          <w:p>
            <w:r>
              <w:t>enrichment</w:t>
            </w:r>
          </w:p>
        </w:tc>
        <w:tc>
          <w:tcPr>
            <w:tcW w:type="dxa" w:w="3120"/>
          </w:tcPr>
          <w:p>
            <w:r>
              <w:t>Stop rows: rec_at, holdings_llm_at, next_earnings_date, news_title/source/at (batch, failure-tolerant)</w:t>
            </w:r>
          </w:p>
        </w:tc>
      </w:tr>
      <w:tr>
        <w:tc>
          <w:tcPr>
            <w:tcW w:type="dxa" w:w="3120"/>
          </w:tcPr>
          <w:p>
            <w:r>
              <w:t>plan_drift_revalidator.py (cron 17:25 Mon-Fri)</w:t>
            </w:r>
          </w:p>
        </w:tc>
        <w:tc>
          <w:tcPr>
            <w:tcW w:type="dxa" w:w="3120"/>
          </w:tcPr>
          <w:p>
            <w:r>
              <w:t>pipeline</w:t>
            </w:r>
          </w:p>
        </w:tc>
        <w:tc>
          <w:tcPr>
            <w:tcW w:type="dxa" w:w="3120"/>
          </w:tcPr>
          <w:p>
            <w:r>
              <w:t>Re-plans incoherent (target&lt;=limit) or drifted (&gt;15%) entry plans via subprocess-batched planner</w:t>
            </w:r>
          </w:p>
        </w:tc>
      </w:tr>
      <w:tr>
        <w:tc>
          <w:tcPr>
            <w:tcW w:type="dxa" w:w="3120"/>
          </w:tcPr>
          <w:p>
            <w:r>
              <w:t>cleanup_stale_proposals.py drift pass</w:t>
            </w:r>
          </w:p>
        </w:tc>
        <w:tc>
          <w:tcPr>
            <w:tcW w:type="dxa" w:w="3120"/>
          </w:tcPr>
          <w:p>
            <w:r>
              <w:t>pipeline</w:t>
            </w:r>
          </w:p>
        </w:tc>
        <w:tc>
          <w:tcPr>
            <w:tcW w:type="dxa" w:w="3120"/>
          </w:tcPr>
          <w:p>
            <w:r>
              <w:t>Auto-rejects PENDING proposals &gt;4h old with live price &gt;15% from proposed entry</w:t>
            </w:r>
          </w:p>
        </w:tc>
      </w:tr>
    </w:tbl>
    <w:p>
      <w:r>
        <w:t>Delivered 2026-07-03/04 across PRs #51-#81 (all squash-merged, CI-green, live-verified). Design spec artifact: claude.ai/code/artifact/fe9d8c64-5440-4178-8e7f-332e46396bde. Advisory boundary unchanged throughout: approve/2FA flows, gate evaluation, and stop submission machinery were not modified by the redesign.</w:t>
      </w:r>
    </w:p>
    <w:p>
      <w:pPr>
        <w:pStyle w:val="Heading2"/>
      </w:pPr>
      <w:r>
        <w:t>July-4 incident set: queue SLA, governor transaction death, infra monitoring (2026-07-04)</w:t>
      </w:r>
    </w:p>
    <w:p>
      <w:r>
        <w:t>A holiday-morning audit answering the question "did everything run properly" surfaced four distinct failure classes that had been running blind, all fixed and merged the same day through pull requests eighty-three and eighty-four with release-readiness green. First, decision-feeding agent jobs (full analysis, proposal review, research gaps, events) had been starved for over two days because the watchlist job worker ordered its queue by symbol tier alone — a continuous stream of scheduled research on high-ranked symbols always outranked them. A canonical time-sensitive request-type list now leads the worker's pick order and is imported by the health agent's SLA check so the drain order and the alarm can never drift apart; the backlog of seventy-four stuck jobs drained within hours. Second, the Hermes scope governor had died on every half-hourly run since three-thirty in the morning: its per-symbol bus-feedback lookup re-parsed the sixteen-megabyte outcome-bus JSON once for each of roughly forty-two hundred watchlist symbols inside a single open database transaction, and Postgres killed the connection at the one-hundred-twenty-second idle-in-transaction timeout. The feedback index is now cached by file modification time and the engine commits its read transaction before the pure-Python decision loop; run time fell from about six minutes to just over one second. Third, seven news-article insert sites had never worked — they addressed columns that do not exist and poisoned their transactions, spamming the Postgres log; they now use a canonical-schema helper with source-URL dedup and rollback, and the cross-agent reasoning context query in intel_query was fixed the same way (it had been silently empty since creation). Fourth, the health agent gained the monitoring to catch each class: SLA-aware queue starvation, per-source data staleness with live Finviz cookie validation, failed trade-stack systemd units, and a counter of Postgres idle-in-transaction kills, plus immediate allowlisted auto-remediation that re-runs a stale scope governor under its own lock.</w:t>
      </w:r>
    </w:p>
    <w:p>
      <w:pPr>
        <w:pStyle w:val="Heading3"/>
      </w:pPr>
      <w:r>
        <w:t>OAuth proxy streaming and the OpenClaw agent recovery</w:t>
      </w:r>
    </w:p>
    <w:p>
      <w:r>
        <w:t>The OpenClaw assistant fleet (the Telegram-facing main agent and the Steph, Aegis, Alex, Iris and Maria workers) had been dead since the July-third upgrade wave. The root cause was a protocol defect in both local free-lane OAuth proxies: they emitted streamed responses as unframed HTTP/1.0, which curl tolerates but Node's fetch client cannot consume — every agent model call hung and then aborted, wedged runs held session-file locks, and scheduled briefs died with a cron loader crash on legacy job schemas. Both proxies (Grok on port 8645, ChatGPT on port 8646) now speak HTTP/1.1 with chunked transfer framing, a proper stream terminator, and event-driven keepalives, verified with a Node fetch client end to end. Model routing was modernized in the same pass: the Telegram agent runs on the free ChatGPT OAuth lane, the worker agents run on the Claude subscription lane (the only tool-capable free lane — the Grok web lane refuses large agent system prompts as jailbreak attempts, and the native codex provider was removed upstream), with a local qwen3 fallback. OpenClaw itself was upgraded to 2026.6.11 with config-schema and cron-storage migrations handled, a one-hundred-eighty-second per-turn timeout so a hung model call can no longer wedge a session lane, and an auth-profile order pin that prevents agent traffic from ever reaching the paid OpenAI API key.</w:t>
      </w:r>
    </w:p>
    <w:p>
      <w:pPr>
        <w:pStyle w:val="Heading3"/>
      </w:pPr>
      <w:r>
        <w:t>Systemic database and operations hygiene</w:t>
      </w:r>
    </w:p>
    <w:p>
      <w:r>
        <w:t>The governor outage was one victim of a systemic pattern, so the class itself was addressed. A live pg_stat_activity audit identified the top three scripts holding transactions open through slow non-database work — the topic-ingestion blocked-content check, the news-ingestion multi-symbol scan (one transaction across an entire scan with network fetches interleaved, which both lost inserts and produced the transaction-aborted log spam), and the agent-job context builder holding reads through long LLM calls. All three now commit before slow work, and the database adapter stamps every connection with the calling script's name so future victims are attributable instead of anonymous process identifiers. Passive per-source liveness reporting (a dedicated autocommit connection that can never flush a caller's open transaction) was wired into the Yahoo, SEC EDGAR, Finnhub, Brave, YouTube and NewsAPI lanes, raising data-source-health coverage from one reporting source to seven of thirteen. A size-based copy-truncate log rotation was added after the Telegram callback poller's log reached one point four gigabytes unrotated. Finally, the continuous-scanner systemd unit was hardened after a boot-time catch-up start died in nineteen milliseconds before the home filesystem was ready: it now requires the project mount, waits for the network, and retries on failure instead of silently missing a trading day.</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