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 &amp; Policy Briefing</w:t>
      </w:r>
    </w:p>
    <w:p>
      <w:pPr>
        <w:pStyle w:val="Heading1"/>
      </w:pPr>
      <w:r>
        <w:t>System Capacity &amp; Care Load Analytics for Unaccompanied Children (UAC)</w:t>
      </w:r>
    </w:p>
    <w:p>
      <w:pPr>
        <w:pStyle w:val="Heading2"/>
      </w:pPr>
      <w:r>
        <w:t>Executive Overview</w:t>
      </w:r>
    </w:p>
    <w:p>
      <w:r>
        <w:t>The federally mandated Unaccompanied Alien Children (UAC) Program constitutes a high-stakes, dynamic care pipeline. Minors apprehended by U.S. Customs and Border Protection (CBP) require prompt medical screening, quarantine, sheltering in licensed HHS facilities, and structured placement with vetted sponsors.</w:t>
      </w:r>
    </w:p>
    <w:p>
      <w:r>
        <w:t>Historically, operational decision-making across this pipeline has suffered from fragmented daily reporting, leading to reactive responses during sudden border influxes. This project establishes an **auditable, policy-aligned healthcare capacity and care-load analytics framework** designed to provide continuous situational awareness, quantify pipeline bottlenecks, and deliver reliable 7-day predictive forecasting.</w:t>
      </w:r>
    </w:p>
    <w:p>
      <w:pPr>
        <w:pStyle w:val="Heading2"/>
      </w:pPr>
      <w:r>
        <w:t>Key Operational Findings</w:t>
      </w:r>
    </w:p>
    <w:p>
      <w:r>
        <w:t>1. **Long-Term System Load Trajectory**:</w:t>
        <w:br/>
        <w:t xml:space="preserve">   * Between January 2023 and December 2025, total reported care load peaked at **11,762 children** in December 2023.</w:t>
        <w:br/>
        <w:t xml:space="preserve">   * Following operational interventions and seasonal shifts, active system census decreased to **2,502 children** by December 2025 (a **78.7% reduction** from peak levels).</w:t>
        <w:br/>
        <w:t xml:space="preserve">   * **HHS facilities consistently shoulder 94.6% of active care burden**, while CBP custody accounts for an average of 5.4% (intake station buffer).</w:t>
      </w:r>
    </w:p>
    <w:p>
      <w:r>
        <w:t>2. **Inflow vs. Outflow Imbalance (The Backlog Engine)**:</w:t>
        <w:br/>
        <w:t xml:space="preserve">   * **Discharge Offset Ratio**: The aggregate ratio of sponsor discharges to incoming transfers is **0.96**, indicating that overall outflow closely tracked inflow across the multi-year timeline.</w:t>
        <w:br/>
        <w:t xml:space="preserve">   * **Prolonged Strain Windows**: Despite long-term parity, localized surges created significant backlog accumulation. A standardized **"4-of-7 days positive net intake"** pressure rule identified key strain windows where inflow outpaced shelter discharge capacity, leading to temporary shelter saturation.</w:t>
      </w:r>
    </w:p>
    <w:p>
      <w:r>
        <w:t>3. **Data Quality &amp; Constraint Audit**:</w:t>
        <w:br/>
        <w:t xml:space="preserve">   * Of 1,170 raw records, **450 completely blank records** were purged, yielding **720 valid daily observations** spanning 1,074 calendar days (67.0% calendar reporting coverage; 355 unobserved weekend/holiday dates).</w:t>
        <w:br/>
        <w:t xml:space="preserve">   * **Logical Constraint Adherence**: Discharges never exceeded active HHS facility census (0 violations). While daily transfers exceeded same-day CBP snapshot custody on 40 occasions, domain analysis confirms this reflects high intra-day processing turnover rather than corrupted data.</w:t>
      </w:r>
    </w:p>
    <w:p>
      <w:pPr>
        <w:pStyle w:val="Heading2"/>
      </w:pPr>
      <w:r>
        <w:t>Predictive Forecasting &amp; Model Performance</w:t>
      </w:r>
    </w:p>
    <w:p>
      <w:r>
        <w:t>To transition HHS from reactive response to proactive capacity allocation, four forecasting architectures were tested on a strictly chronological holdout test set (99 exact 7-calendar-day target pairs):</w:t>
      </w:r>
    </w:p>
    <w:p>
      <w:r>
        <w:t>* **Methodological Insight**: The validation-selected **Local Linear Trend** reduced test Mean Absolute Error from **31.22 to 21.91 children**—a **29.82% error reduction** over naive persistence. Higher-complexity non-linear models suffered from sample size constraints and historical regime shifts.</w:t>
        <w:br/>
        <w:t>* **Leakage Controls**: Zero future data leakage was verified through strict chronological boundaries ($Train &lt; Validation &lt; Test$) and boundary-crossing pair purging.</w:t>
      </w:r>
    </w:p>
    <w:p>
      <w:pPr>
        <w:pStyle w:val="Heading2"/>
      </w:pPr>
      <w:r>
        <w:t>Strategic Recommendations for Government Stakeholders</w:t>
      </w:r>
    </w:p>
    <w:p>
      <w:r>
        <w:t>1. **Deploy Streamlit Centralized Decision-Support**:</w:t>
        <w:br/>
        <w:t xml:space="preserve">   Operationalize the interactive Streamlit monitoring application (`streamlit_app.py`) across HHS ORR regional command centers for live visibility into active census, growth velocity, and inflow-outflow ratios.</w:t>
        <w:br/>
        <w:t>2. **Automate Surge Early-Warning Thresholds**:</w:t>
        <w:br/>
        <w:t xml:space="preserve">   Institute automated alerts when the 7-day rolling net flow remains positive for 4 or more consecutive reporting cycles, triggering pre-negotiated temporary shelter expansion contracts before facilities exceed 85% capacity.</w:t>
        <w:br/>
        <w:t>3. **Formalize Sponsor Placement Acceleration Protocols**:</w:t>
        <w:br/>
        <w:t xml:space="preserve">   When the Discharge Offset Ratio drops below 0.85 for 14 consecutive days, deploy surge background-check personnel to sponsor vetting units to accelerate safe reunifications and relieve facility pressure.</w:t>
        <w:br/>
        <w:t>4. **Mandate Complete Calendar Telemetry**:</w:t>
        <w:br/>
        <w:t xml:space="preserve">   Transition from irregular 5-day reporting to 7-day automated telemetry to eliminate the 355 unobserved calendar gaps, improving time-series model fidelity and multi-horizon planning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