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9" w:rsidRDefault="006F1403" w:rsidP="00F91F82">
      <w:pPr>
        <w:pStyle w:val="Title"/>
      </w:pPr>
      <w:r>
        <w:t>IST722</w:t>
      </w:r>
      <w:r w:rsidR="00E641C6">
        <w:t xml:space="preserve">: Unit 02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rsidTr="00765F93">
        <w:tc>
          <w:tcPr>
            <w:tcW w:w="1615" w:type="dxa"/>
            <w:shd w:val="clear" w:color="auto" w:fill="D9D9D9" w:themeFill="background1" w:themeFillShade="D9"/>
          </w:tcPr>
          <w:p w:rsidR="00862C1A" w:rsidRDefault="00862C1A" w:rsidP="00765F93">
            <w:pPr>
              <w:pStyle w:val="NoSpacing"/>
            </w:pPr>
            <w:r>
              <w:t>Your Name:</w:t>
            </w:r>
          </w:p>
        </w:tc>
        <w:tc>
          <w:tcPr>
            <w:tcW w:w="9175" w:type="dxa"/>
          </w:tcPr>
          <w:p w:rsidR="00862C1A" w:rsidRDefault="00925904" w:rsidP="00765F93">
            <w:pPr>
              <w:pStyle w:val="NoSpacing"/>
            </w:pPr>
            <w:r>
              <w:t>HARSH RAJESH DARJI</w:t>
            </w:r>
          </w:p>
        </w:tc>
      </w:tr>
      <w:tr w:rsidR="00862C1A" w:rsidTr="00765F93">
        <w:tc>
          <w:tcPr>
            <w:tcW w:w="1615" w:type="dxa"/>
            <w:shd w:val="clear" w:color="auto" w:fill="D9D9D9" w:themeFill="background1" w:themeFillShade="D9"/>
          </w:tcPr>
          <w:p w:rsidR="00862C1A" w:rsidRDefault="00862C1A" w:rsidP="00765F93">
            <w:pPr>
              <w:pStyle w:val="NoSpacing"/>
            </w:pPr>
            <w:r>
              <w:t xml:space="preserve">Your Email: </w:t>
            </w:r>
          </w:p>
        </w:tc>
        <w:tc>
          <w:tcPr>
            <w:tcW w:w="9175" w:type="dxa"/>
          </w:tcPr>
          <w:p w:rsidR="00862C1A" w:rsidRDefault="00925904" w:rsidP="00765F93">
            <w:pPr>
              <w:pStyle w:val="NoSpacing"/>
            </w:pPr>
            <w:r>
              <w:t>hrdarji@syr.edu</w:t>
            </w:r>
          </w:p>
        </w:tc>
      </w:tr>
    </w:tbl>
    <w:p w:rsidR="00FD5776" w:rsidRDefault="00862C1A" w:rsidP="00FD5776">
      <w:pPr>
        <w:pStyle w:val="Heading1"/>
      </w:pPr>
      <w:r>
        <w:t>Instructions</w:t>
      </w:r>
    </w:p>
    <w:p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EC190A" w:rsidRDefault="00FD5776" w:rsidP="00F840FF">
      <w:pPr>
        <w:pStyle w:val="ListParagraph"/>
        <w:numPr>
          <w:ilvl w:val="0"/>
          <w:numId w:val="23"/>
        </w:numPr>
      </w:pPr>
      <w:r>
        <w:t>What is the difference between a primary key and a business key? What constitutes a good choice for primary key? What is the optimal primary key for an OLTP system and why?</w:t>
      </w:r>
    </w:p>
    <w:p w:rsidR="0034611F" w:rsidRDefault="002D5307" w:rsidP="00EC190A">
      <w:pPr>
        <w:ind w:left="360"/>
      </w:pPr>
      <w:r>
        <w:t xml:space="preserve">A primary key is special relational database column or combination of columns which is used to uniquely identify all table records. While, business key is </w:t>
      </w:r>
      <w:r w:rsidR="0034611F">
        <w:t>a</w:t>
      </w:r>
      <w:r>
        <w:t xml:space="preserve"> unique, </w:t>
      </w:r>
      <w:r w:rsidR="0034611F">
        <w:t xml:space="preserve">which is formed of attributes that already exists in the real world. Primary key may or may not have logical relationship to attributes within that row. But Business key always has a logical relationship to the attributes within that row. Primary key in relational database can be auto generated depending upon the defined sequence but business key cannot be auto generated. E.g.: For a person attribute, database can generate keys like Person ID:1,2, </w:t>
      </w:r>
      <w:proofErr w:type="gramStart"/>
      <w:r w:rsidR="0034611F">
        <w:t>3..</w:t>
      </w:r>
      <w:proofErr w:type="gramEnd"/>
      <w:r w:rsidR="0034611F">
        <w:t xml:space="preserve"> which uniquely identifies person. Here, Person ID becomes a primary key. While, combination of Person’s first name, last name and age can be a business key.</w:t>
      </w:r>
    </w:p>
    <w:p w:rsidR="0034611F" w:rsidRDefault="00E90C74" w:rsidP="00EC190A">
      <w:pPr>
        <w:ind w:left="360"/>
      </w:pPr>
      <w:r>
        <w:t>Choosing good primary key:</w:t>
      </w:r>
    </w:p>
    <w:p w:rsidR="00E90C74" w:rsidRDefault="00E90C74" w:rsidP="00E90C74">
      <w:pPr>
        <w:pStyle w:val="ListParagraph"/>
        <w:numPr>
          <w:ilvl w:val="0"/>
          <w:numId w:val="24"/>
        </w:numPr>
      </w:pPr>
      <w:r>
        <w:t>Never Null – Primary key cannot be null. This is an inviolate rule of the relational model.</w:t>
      </w:r>
    </w:p>
    <w:p w:rsidR="00E90C74" w:rsidRDefault="00E90C74" w:rsidP="00E90C74">
      <w:pPr>
        <w:pStyle w:val="ListParagraph"/>
        <w:numPr>
          <w:ilvl w:val="0"/>
          <w:numId w:val="24"/>
        </w:numPr>
      </w:pPr>
      <w:r>
        <w:t>Brevity – Primary key must be one column instead f combination of columns if possible. Because when we want to query our database, the SQL server can speed up computations.</w:t>
      </w:r>
    </w:p>
    <w:p w:rsidR="00E90C74" w:rsidRDefault="00E90C74" w:rsidP="00E90C74">
      <w:pPr>
        <w:pStyle w:val="ListParagraph"/>
        <w:numPr>
          <w:ilvl w:val="0"/>
          <w:numId w:val="24"/>
        </w:numPr>
      </w:pPr>
      <w:r>
        <w:t>Simplicity – Primary key should not have embedded spaces and special characters. Because such entries are hard to work with in SQL queries and join operations.</w:t>
      </w:r>
    </w:p>
    <w:p w:rsidR="00E90C74" w:rsidRDefault="00E90C74" w:rsidP="00E90C74">
      <w:pPr>
        <w:pStyle w:val="ListParagraph"/>
        <w:numPr>
          <w:ilvl w:val="0"/>
          <w:numId w:val="24"/>
        </w:numPr>
      </w:pPr>
      <w:r>
        <w:t>Data Type – Primary key should be Integer data types if possible, followed by fixed-length character. Because SQL server processes number data type faster than character data type.</w:t>
      </w:r>
    </w:p>
    <w:p w:rsidR="00E90C74" w:rsidRDefault="0035372B" w:rsidP="00E90C74">
      <w:pPr>
        <w:pStyle w:val="ListParagraph"/>
        <w:numPr>
          <w:ilvl w:val="0"/>
          <w:numId w:val="24"/>
        </w:numPr>
      </w:pPr>
      <w:r>
        <w:t>Nonidentifying</w:t>
      </w:r>
      <w:r w:rsidR="00E90C74">
        <w:t xml:space="preserve"> value – Primary key should not have a meaning because when primary key </w:t>
      </w:r>
      <w:proofErr w:type="gramStart"/>
      <w:r w:rsidR="00E90C74">
        <w:t>are</w:t>
      </w:r>
      <w:proofErr w:type="gramEnd"/>
      <w:r w:rsidR="00E90C74">
        <w:t xml:space="preserve"> is descriptive it might become obsolete.</w:t>
      </w:r>
    </w:p>
    <w:p w:rsidR="00E90C74" w:rsidRDefault="00E90C74" w:rsidP="00E90C74">
      <w:pPr>
        <w:pStyle w:val="ListParagraph"/>
        <w:numPr>
          <w:ilvl w:val="0"/>
          <w:numId w:val="24"/>
        </w:numPr>
      </w:pPr>
      <w:r>
        <w:t xml:space="preserve"> </w:t>
      </w:r>
      <w:r w:rsidR="0035372B">
        <w:t xml:space="preserve">Never Change – Primary key must never change. </w:t>
      </w:r>
    </w:p>
    <w:p w:rsidR="0035372B" w:rsidRDefault="0035372B" w:rsidP="0035372B">
      <w:r>
        <w:t>The optimal primary key for an OLTP system would be a Primary Key with integer types generated sequentially</w:t>
      </w:r>
    </w:p>
    <w:p w:rsidR="00FD5776" w:rsidRDefault="0034611F" w:rsidP="00EC190A">
      <w:pPr>
        <w:ind w:left="360"/>
      </w:pPr>
      <w:r>
        <w:lastRenderedPageBreak/>
        <w:t xml:space="preserve">    </w:t>
      </w:r>
    </w:p>
    <w:p w:rsidR="00FD5776" w:rsidRDefault="00FD5776" w:rsidP="00FD5776">
      <w:pPr>
        <w:pStyle w:val="ListParagraph"/>
        <w:numPr>
          <w:ilvl w:val="0"/>
          <w:numId w:val="23"/>
        </w:numPr>
      </w:pPr>
      <w:proofErr w:type="gramStart"/>
      <w:r>
        <w:t>Compare and contrast</w:t>
      </w:r>
      <w:proofErr w:type="gramEnd"/>
      <w:r>
        <w:t xml:space="preserve"> the </w:t>
      </w:r>
      <w:proofErr w:type="spellStart"/>
      <w:r>
        <w:t>Inmon</w:t>
      </w:r>
      <w:proofErr w:type="spellEnd"/>
      <w:r>
        <w:t xml:space="preserve"> and Kimball definitions of Data Warehouse and Data Mart. How are they similar? Different?</w:t>
      </w:r>
    </w:p>
    <w:tbl>
      <w:tblPr>
        <w:tblStyle w:val="TableGrid"/>
        <w:tblW w:w="0" w:type="auto"/>
        <w:tblInd w:w="360" w:type="dxa"/>
        <w:tblLook w:val="04A0" w:firstRow="1" w:lastRow="0" w:firstColumn="1" w:lastColumn="0" w:noHBand="0" w:noVBand="1"/>
      </w:tblPr>
      <w:tblGrid>
        <w:gridCol w:w="3425"/>
        <w:gridCol w:w="3425"/>
        <w:gridCol w:w="3429"/>
      </w:tblGrid>
      <w:tr w:rsidR="00CF793C" w:rsidTr="00CF793C">
        <w:trPr>
          <w:trHeight w:val="107"/>
        </w:trPr>
        <w:tc>
          <w:tcPr>
            <w:tcW w:w="3425" w:type="dxa"/>
          </w:tcPr>
          <w:p w:rsidR="008379BA" w:rsidRPr="00D621D7" w:rsidRDefault="008379BA" w:rsidP="00D621D7">
            <w:pPr>
              <w:jc w:val="center"/>
              <w:rPr>
                <w:b/>
              </w:rPr>
            </w:pPr>
          </w:p>
        </w:tc>
        <w:tc>
          <w:tcPr>
            <w:tcW w:w="3425" w:type="dxa"/>
          </w:tcPr>
          <w:p w:rsidR="008379BA" w:rsidRPr="00D621D7" w:rsidRDefault="008379BA" w:rsidP="00D621D7">
            <w:pPr>
              <w:jc w:val="center"/>
              <w:rPr>
                <w:b/>
                <w:sz w:val="24"/>
                <w:szCs w:val="24"/>
                <w:highlight w:val="yellow"/>
              </w:rPr>
            </w:pPr>
            <w:proofErr w:type="spellStart"/>
            <w:r w:rsidRPr="00D621D7">
              <w:rPr>
                <w:b/>
                <w:sz w:val="24"/>
                <w:szCs w:val="24"/>
                <w:highlight w:val="yellow"/>
              </w:rPr>
              <w:t>Inmon</w:t>
            </w:r>
            <w:proofErr w:type="spellEnd"/>
            <w:r w:rsidR="00D621D7">
              <w:rPr>
                <w:b/>
                <w:sz w:val="24"/>
                <w:szCs w:val="24"/>
                <w:highlight w:val="yellow"/>
              </w:rPr>
              <w:t xml:space="preserve"> Approach</w:t>
            </w:r>
          </w:p>
        </w:tc>
        <w:tc>
          <w:tcPr>
            <w:tcW w:w="3429" w:type="dxa"/>
          </w:tcPr>
          <w:p w:rsidR="008379BA" w:rsidRPr="00D621D7" w:rsidRDefault="008379BA" w:rsidP="00D621D7">
            <w:pPr>
              <w:jc w:val="center"/>
              <w:rPr>
                <w:b/>
                <w:color w:val="FFFF00"/>
                <w:sz w:val="24"/>
                <w:szCs w:val="24"/>
                <w:highlight w:val="yellow"/>
              </w:rPr>
            </w:pPr>
            <w:r w:rsidRPr="00D621D7">
              <w:rPr>
                <w:b/>
                <w:sz w:val="24"/>
                <w:szCs w:val="24"/>
                <w:highlight w:val="yellow"/>
              </w:rPr>
              <w:t>Kimball</w:t>
            </w:r>
            <w:r w:rsidR="00D621D7">
              <w:rPr>
                <w:b/>
                <w:sz w:val="24"/>
                <w:szCs w:val="24"/>
                <w:highlight w:val="yellow"/>
              </w:rPr>
              <w:t xml:space="preserve"> Approach</w:t>
            </w:r>
          </w:p>
        </w:tc>
      </w:tr>
      <w:tr w:rsidR="00CF793C" w:rsidTr="00CF793C">
        <w:trPr>
          <w:trHeight w:val="100"/>
        </w:trPr>
        <w:tc>
          <w:tcPr>
            <w:tcW w:w="3425" w:type="dxa"/>
          </w:tcPr>
          <w:p w:rsidR="008379BA" w:rsidRPr="00D621D7" w:rsidRDefault="008379BA" w:rsidP="00D621D7">
            <w:pPr>
              <w:jc w:val="center"/>
              <w:rPr>
                <w:b/>
              </w:rPr>
            </w:pPr>
            <w:r w:rsidRPr="00D621D7">
              <w:rPr>
                <w:b/>
              </w:rPr>
              <w:t>Data Warehouse is:</w:t>
            </w:r>
          </w:p>
        </w:tc>
        <w:tc>
          <w:tcPr>
            <w:tcW w:w="3425" w:type="dxa"/>
          </w:tcPr>
          <w:p w:rsidR="008379BA" w:rsidRDefault="008379BA" w:rsidP="00D621D7">
            <w:pPr>
              <w:jc w:val="center"/>
            </w:pPr>
            <w:proofErr w:type="spellStart"/>
            <w:r>
              <w:t>Normalised</w:t>
            </w:r>
            <w:proofErr w:type="spellEnd"/>
            <w:r>
              <w:t xml:space="preserve"> Tables</w:t>
            </w:r>
          </w:p>
        </w:tc>
        <w:tc>
          <w:tcPr>
            <w:tcW w:w="3429" w:type="dxa"/>
          </w:tcPr>
          <w:p w:rsidR="008379BA" w:rsidRDefault="008379BA" w:rsidP="00D621D7">
            <w:pPr>
              <w:jc w:val="center"/>
            </w:pPr>
            <w:r>
              <w:t>Dimensional Models</w:t>
            </w:r>
          </w:p>
        </w:tc>
      </w:tr>
      <w:tr w:rsidR="00CF793C" w:rsidTr="00CF793C">
        <w:trPr>
          <w:trHeight w:val="100"/>
        </w:trPr>
        <w:tc>
          <w:tcPr>
            <w:tcW w:w="3425" w:type="dxa"/>
          </w:tcPr>
          <w:p w:rsidR="008379BA" w:rsidRPr="00D621D7" w:rsidRDefault="008379BA" w:rsidP="00D621D7">
            <w:pPr>
              <w:jc w:val="center"/>
              <w:rPr>
                <w:b/>
              </w:rPr>
            </w:pPr>
            <w:r w:rsidRPr="00D621D7">
              <w:rPr>
                <w:b/>
              </w:rPr>
              <w:t>Purpose of Data Warehouse is:</w:t>
            </w:r>
          </w:p>
        </w:tc>
        <w:tc>
          <w:tcPr>
            <w:tcW w:w="3425" w:type="dxa"/>
          </w:tcPr>
          <w:p w:rsidR="008379BA" w:rsidRDefault="008379BA" w:rsidP="00D621D7">
            <w:pPr>
              <w:jc w:val="center"/>
            </w:pPr>
            <w:r>
              <w:t>Data Integration</w:t>
            </w:r>
          </w:p>
        </w:tc>
        <w:tc>
          <w:tcPr>
            <w:tcW w:w="3429" w:type="dxa"/>
          </w:tcPr>
          <w:p w:rsidR="008379BA" w:rsidRDefault="008379BA" w:rsidP="00D621D7">
            <w:pPr>
              <w:jc w:val="center"/>
            </w:pPr>
            <w:r>
              <w:t>Query</w:t>
            </w:r>
          </w:p>
        </w:tc>
      </w:tr>
      <w:tr w:rsidR="00CF793C" w:rsidTr="00CF793C">
        <w:trPr>
          <w:trHeight w:val="100"/>
        </w:trPr>
        <w:tc>
          <w:tcPr>
            <w:tcW w:w="3425" w:type="dxa"/>
          </w:tcPr>
          <w:p w:rsidR="008379BA" w:rsidRPr="00D621D7" w:rsidRDefault="008379BA" w:rsidP="00D621D7">
            <w:pPr>
              <w:jc w:val="center"/>
              <w:rPr>
                <w:b/>
              </w:rPr>
            </w:pPr>
            <w:r w:rsidRPr="00D621D7">
              <w:rPr>
                <w:b/>
              </w:rPr>
              <w:t>How is Data Warehouse Built?</w:t>
            </w:r>
          </w:p>
        </w:tc>
        <w:tc>
          <w:tcPr>
            <w:tcW w:w="3425" w:type="dxa"/>
          </w:tcPr>
          <w:p w:rsidR="008379BA" w:rsidRDefault="008379BA" w:rsidP="00D621D7">
            <w:pPr>
              <w:jc w:val="center"/>
            </w:pPr>
            <w:r>
              <w:t>Data first (iterative, bottom-up)</w:t>
            </w:r>
          </w:p>
        </w:tc>
        <w:tc>
          <w:tcPr>
            <w:tcW w:w="3429" w:type="dxa"/>
          </w:tcPr>
          <w:p w:rsidR="008379BA" w:rsidRDefault="008379BA" w:rsidP="00D621D7">
            <w:pPr>
              <w:jc w:val="center"/>
            </w:pPr>
            <w:r>
              <w:t>Process first (waterfall, top-down)</w:t>
            </w:r>
          </w:p>
        </w:tc>
      </w:tr>
      <w:tr w:rsidR="00CF793C" w:rsidTr="00CF793C">
        <w:trPr>
          <w:trHeight w:val="100"/>
        </w:trPr>
        <w:tc>
          <w:tcPr>
            <w:tcW w:w="3425" w:type="dxa"/>
          </w:tcPr>
          <w:p w:rsidR="008379BA" w:rsidRDefault="008379BA" w:rsidP="00A9403C"/>
        </w:tc>
        <w:tc>
          <w:tcPr>
            <w:tcW w:w="3425" w:type="dxa"/>
          </w:tcPr>
          <w:p w:rsidR="008379BA" w:rsidRPr="00D621D7" w:rsidRDefault="008379BA" w:rsidP="00D621D7">
            <w:pPr>
              <w:jc w:val="center"/>
              <w:rPr>
                <w:b/>
                <w:color w:val="000000" w:themeColor="text1"/>
              </w:rPr>
            </w:pPr>
            <w:proofErr w:type="spellStart"/>
            <w:r w:rsidRPr="00D621D7">
              <w:rPr>
                <w:b/>
                <w:color w:val="000000" w:themeColor="text1"/>
                <w:highlight w:val="yellow"/>
              </w:rPr>
              <w:t>Inmon</w:t>
            </w:r>
            <w:proofErr w:type="spellEnd"/>
            <w:r w:rsidRPr="00D621D7">
              <w:rPr>
                <w:b/>
                <w:color w:val="000000" w:themeColor="text1"/>
                <w:highlight w:val="yellow"/>
              </w:rPr>
              <w:t xml:space="preserve"> Data Warehouse</w:t>
            </w:r>
          </w:p>
        </w:tc>
        <w:tc>
          <w:tcPr>
            <w:tcW w:w="3429" w:type="dxa"/>
          </w:tcPr>
          <w:p w:rsidR="008379BA" w:rsidRPr="00D621D7" w:rsidRDefault="008379BA" w:rsidP="00D621D7">
            <w:pPr>
              <w:jc w:val="center"/>
              <w:rPr>
                <w:b/>
              </w:rPr>
            </w:pPr>
            <w:r w:rsidRPr="00D621D7">
              <w:rPr>
                <w:b/>
                <w:highlight w:val="yellow"/>
              </w:rPr>
              <w:t>Kimball Data Warehouse</w:t>
            </w:r>
          </w:p>
        </w:tc>
      </w:tr>
      <w:tr w:rsidR="008379BA" w:rsidTr="00CF793C">
        <w:trPr>
          <w:trHeight w:val="100"/>
        </w:trPr>
        <w:tc>
          <w:tcPr>
            <w:tcW w:w="3425" w:type="dxa"/>
          </w:tcPr>
          <w:p w:rsidR="008379BA" w:rsidRDefault="008379BA" w:rsidP="00A9403C"/>
        </w:tc>
        <w:tc>
          <w:tcPr>
            <w:tcW w:w="3425" w:type="dxa"/>
          </w:tcPr>
          <w:p w:rsidR="008379BA" w:rsidRDefault="008379BA" w:rsidP="00D621D7">
            <w:pPr>
              <w:jc w:val="center"/>
            </w:pPr>
            <w:r>
              <w:t>Relationship Modeling</w:t>
            </w:r>
          </w:p>
        </w:tc>
        <w:tc>
          <w:tcPr>
            <w:tcW w:w="3429" w:type="dxa"/>
          </w:tcPr>
          <w:p w:rsidR="008379BA" w:rsidRDefault="008379BA" w:rsidP="00D621D7">
            <w:pPr>
              <w:jc w:val="center"/>
            </w:pPr>
            <w:r>
              <w:t>Dimension Modeling</w:t>
            </w:r>
          </w:p>
        </w:tc>
      </w:tr>
      <w:tr w:rsidR="008379BA" w:rsidTr="00CF793C">
        <w:trPr>
          <w:trHeight w:val="100"/>
        </w:trPr>
        <w:tc>
          <w:tcPr>
            <w:tcW w:w="3425" w:type="dxa"/>
          </w:tcPr>
          <w:p w:rsidR="008379BA" w:rsidRDefault="008379BA" w:rsidP="00A9403C"/>
        </w:tc>
        <w:tc>
          <w:tcPr>
            <w:tcW w:w="3425" w:type="dxa"/>
          </w:tcPr>
          <w:p w:rsidR="008379BA" w:rsidRDefault="008379BA" w:rsidP="00D621D7">
            <w:pPr>
              <w:jc w:val="center"/>
            </w:pPr>
            <w:r>
              <w:t>Entity-Relationship Model</w:t>
            </w:r>
          </w:p>
        </w:tc>
        <w:tc>
          <w:tcPr>
            <w:tcW w:w="3429" w:type="dxa"/>
          </w:tcPr>
          <w:p w:rsidR="008379BA" w:rsidRDefault="008379BA" w:rsidP="00D621D7">
            <w:pPr>
              <w:jc w:val="center"/>
            </w:pPr>
            <w:r>
              <w:t>Fact Tables and start schema</w:t>
            </w:r>
          </w:p>
        </w:tc>
      </w:tr>
      <w:tr w:rsidR="008379BA" w:rsidTr="00CF793C">
        <w:trPr>
          <w:trHeight w:val="100"/>
        </w:trPr>
        <w:tc>
          <w:tcPr>
            <w:tcW w:w="3425" w:type="dxa"/>
          </w:tcPr>
          <w:p w:rsidR="008379BA" w:rsidRDefault="008379BA" w:rsidP="00A9403C"/>
        </w:tc>
        <w:tc>
          <w:tcPr>
            <w:tcW w:w="3425" w:type="dxa"/>
          </w:tcPr>
          <w:p w:rsidR="008379BA" w:rsidRDefault="008379BA" w:rsidP="00D621D7">
            <w:pPr>
              <w:jc w:val="center"/>
            </w:pPr>
            <w:r>
              <w:t>Tables in third normal form</w:t>
            </w:r>
          </w:p>
        </w:tc>
        <w:tc>
          <w:tcPr>
            <w:tcW w:w="3429" w:type="dxa"/>
          </w:tcPr>
          <w:p w:rsidR="008379BA" w:rsidRDefault="008379BA" w:rsidP="00D621D7">
            <w:pPr>
              <w:jc w:val="center"/>
            </w:pPr>
            <w:r>
              <w:t>Tables are denormalized</w:t>
            </w:r>
          </w:p>
        </w:tc>
      </w:tr>
      <w:tr w:rsidR="008379BA" w:rsidTr="00CF793C">
        <w:trPr>
          <w:trHeight w:val="102"/>
        </w:trPr>
        <w:tc>
          <w:tcPr>
            <w:tcW w:w="3425" w:type="dxa"/>
          </w:tcPr>
          <w:p w:rsidR="008379BA" w:rsidRDefault="008379BA" w:rsidP="00A9403C"/>
        </w:tc>
        <w:tc>
          <w:tcPr>
            <w:tcW w:w="3425" w:type="dxa"/>
          </w:tcPr>
          <w:p w:rsidR="008379BA" w:rsidRDefault="008379BA" w:rsidP="00D621D7">
            <w:pPr>
              <w:jc w:val="center"/>
            </w:pPr>
            <w:r>
              <w:t>Many Tables using Joins</w:t>
            </w:r>
          </w:p>
        </w:tc>
        <w:tc>
          <w:tcPr>
            <w:tcW w:w="3429" w:type="dxa"/>
          </w:tcPr>
          <w:p w:rsidR="008379BA" w:rsidRDefault="008379BA" w:rsidP="00D621D7">
            <w:pPr>
              <w:jc w:val="center"/>
            </w:pPr>
            <w:r>
              <w:t>Easier for end users to understand</w:t>
            </w:r>
          </w:p>
        </w:tc>
      </w:tr>
      <w:tr w:rsidR="008379BA" w:rsidTr="00CF793C">
        <w:trPr>
          <w:trHeight w:val="100"/>
        </w:trPr>
        <w:tc>
          <w:tcPr>
            <w:tcW w:w="3425" w:type="dxa"/>
          </w:tcPr>
          <w:p w:rsidR="008379BA" w:rsidRDefault="008379BA" w:rsidP="00A9403C"/>
        </w:tc>
        <w:tc>
          <w:tcPr>
            <w:tcW w:w="3425" w:type="dxa"/>
          </w:tcPr>
          <w:p w:rsidR="008379BA" w:rsidRDefault="008379BA" w:rsidP="00D621D7">
            <w:pPr>
              <w:jc w:val="center"/>
            </w:pPr>
            <w:r>
              <w:t>Built for Data Integration</w:t>
            </w:r>
          </w:p>
        </w:tc>
        <w:tc>
          <w:tcPr>
            <w:tcW w:w="3429" w:type="dxa"/>
          </w:tcPr>
          <w:p w:rsidR="008379BA" w:rsidRDefault="008379BA" w:rsidP="00D621D7">
            <w:pPr>
              <w:jc w:val="center"/>
            </w:pPr>
            <w:r>
              <w:t>Built for ad hoc queries</w:t>
            </w:r>
          </w:p>
        </w:tc>
      </w:tr>
      <w:tr w:rsidR="008379BA" w:rsidTr="00CF793C">
        <w:trPr>
          <w:trHeight w:val="46"/>
        </w:trPr>
        <w:tc>
          <w:tcPr>
            <w:tcW w:w="3425" w:type="dxa"/>
          </w:tcPr>
          <w:p w:rsidR="008379BA" w:rsidRDefault="008379BA" w:rsidP="00A9403C"/>
        </w:tc>
        <w:tc>
          <w:tcPr>
            <w:tcW w:w="3425" w:type="dxa"/>
          </w:tcPr>
          <w:p w:rsidR="008379BA" w:rsidRDefault="008379BA" w:rsidP="00D621D7">
            <w:pPr>
              <w:jc w:val="center"/>
            </w:pPr>
            <w:r>
              <w:t>Indirect Access of data by users</w:t>
            </w:r>
          </w:p>
        </w:tc>
        <w:tc>
          <w:tcPr>
            <w:tcW w:w="3429" w:type="dxa"/>
          </w:tcPr>
          <w:p w:rsidR="008379BA" w:rsidRDefault="008379BA" w:rsidP="00D621D7">
            <w:pPr>
              <w:jc w:val="center"/>
            </w:pPr>
            <w:r>
              <w:t>Direct Access of data by users</w:t>
            </w:r>
          </w:p>
        </w:tc>
      </w:tr>
    </w:tbl>
    <w:p w:rsidR="00CF793C" w:rsidRDefault="00CF793C" w:rsidP="00CF793C"/>
    <w:p w:rsidR="00D621D7" w:rsidRPr="00CF793C" w:rsidRDefault="00D621D7" w:rsidP="00CF793C">
      <w:pPr>
        <w:rPr>
          <w:b/>
        </w:rPr>
      </w:pPr>
      <w:bookmarkStart w:id="0" w:name="_GoBack"/>
      <w:bookmarkEnd w:id="0"/>
      <w:proofErr w:type="spellStart"/>
      <w:r w:rsidRPr="00CF793C">
        <w:rPr>
          <w:b/>
        </w:rPr>
        <w:t>Inmon</w:t>
      </w:r>
      <w:proofErr w:type="spellEnd"/>
      <w:r w:rsidRPr="00CF793C">
        <w:rPr>
          <w:b/>
        </w:rPr>
        <w:t xml:space="preserve"> Data Warehouse:</w:t>
      </w:r>
    </w:p>
    <w:p w:rsidR="00D621D7" w:rsidRDefault="00D621D7" w:rsidP="00A9403C">
      <w:pPr>
        <w:ind w:left="360"/>
      </w:pPr>
      <w:r>
        <w:rPr>
          <w:noProof/>
        </w:rPr>
        <w:drawing>
          <wp:inline distT="0" distB="0" distL="0" distR="0" wp14:anchorId="51338942" wp14:editId="68D079E3">
            <wp:extent cx="59150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3533775"/>
                    </a:xfrm>
                    <a:prstGeom prst="rect">
                      <a:avLst/>
                    </a:prstGeom>
                  </pic:spPr>
                </pic:pic>
              </a:graphicData>
            </a:graphic>
          </wp:inline>
        </w:drawing>
      </w:r>
    </w:p>
    <w:p w:rsidR="00D621D7" w:rsidRDefault="00D621D7" w:rsidP="00CF793C">
      <w:pPr>
        <w:ind w:left="360"/>
      </w:pPr>
      <w:r>
        <w:lastRenderedPageBreak/>
        <w:t xml:space="preserve">According to </w:t>
      </w:r>
      <w:proofErr w:type="spellStart"/>
      <w:r>
        <w:t>Inmon</w:t>
      </w:r>
      <w:proofErr w:type="spellEnd"/>
      <w:r>
        <w:t xml:space="preserve"> Approach, data warehouse truly serves as the single source of the truth, as it is the only source for all the data marts. But more ETL work is needed as the data marts are built from the data warehouse. But at the same time data update anomalies are avoided because of very low redundancy.</w:t>
      </w:r>
    </w:p>
    <w:p w:rsidR="00D621D7" w:rsidRPr="00CF793C" w:rsidRDefault="00D621D7" w:rsidP="00A9403C">
      <w:pPr>
        <w:ind w:left="360"/>
        <w:rPr>
          <w:b/>
        </w:rPr>
      </w:pPr>
      <w:r w:rsidRPr="00CF793C">
        <w:rPr>
          <w:b/>
        </w:rPr>
        <w:t>Kimball Data Warehouse:</w:t>
      </w:r>
    </w:p>
    <w:p w:rsidR="00D621D7" w:rsidRDefault="00D621D7" w:rsidP="00A9403C">
      <w:pPr>
        <w:ind w:left="360"/>
      </w:pPr>
      <w:r>
        <w:rPr>
          <w:noProof/>
        </w:rPr>
        <w:drawing>
          <wp:inline distT="0" distB="0" distL="0" distR="0" wp14:anchorId="1D85CDE6" wp14:editId="468C8D1C">
            <wp:extent cx="6858000" cy="421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15765"/>
                    </a:xfrm>
                    <a:prstGeom prst="rect">
                      <a:avLst/>
                    </a:prstGeom>
                  </pic:spPr>
                </pic:pic>
              </a:graphicData>
            </a:graphic>
          </wp:inline>
        </w:drawing>
      </w:r>
    </w:p>
    <w:p w:rsidR="00D621D7" w:rsidRDefault="00D621D7" w:rsidP="00A9403C">
      <w:pPr>
        <w:ind w:left="360"/>
      </w:pPr>
      <w:r>
        <w:t xml:space="preserve">According to Kimball approach, data marts are within the data warehouse. So, the essence of one truth is lost here. Redundant data can cause data update anomalies. This approach works well for department wise metric as the data marts are geared towards department-wise reporting. But, if new columns are added to fact tables, fact tables will become larger and will not perform well. Also, Integration of legacy data into the data warehouse can </w:t>
      </w:r>
      <w:proofErr w:type="spellStart"/>
      <w:r>
        <w:t>e</w:t>
      </w:r>
      <w:proofErr w:type="spellEnd"/>
      <w:r>
        <w:t xml:space="preserve"> a complex process.</w:t>
      </w:r>
    </w:p>
    <w:p w:rsidR="00D621D7" w:rsidRDefault="00D621D7" w:rsidP="00A9403C">
      <w:pPr>
        <w:ind w:left="360"/>
      </w:pPr>
      <w:r>
        <w:t xml:space="preserve">Both </w:t>
      </w:r>
      <w:proofErr w:type="spellStart"/>
      <w:r>
        <w:t>Inmon</w:t>
      </w:r>
      <w:proofErr w:type="spellEnd"/>
      <w:r>
        <w:t xml:space="preserve"> and Kimball approach can successfully deliver data warehouse.</w:t>
      </w:r>
      <w:r w:rsidR="00CF793C">
        <w:t xml:space="preserve"> The similar variables that are required in both </w:t>
      </w:r>
      <w:proofErr w:type="spellStart"/>
      <w:r w:rsidR="00CF793C">
        <w:t>Inmon</w:t>
      </w:r>
      <w:proofErr w:type="spellEnd"/>
      <w:r w:rsidR="00CF793C">
        <w:t xml:space="preserve"> and Kimball Approach are:</w:t>
      </w:r>
    </w:p>
    <w:p w:rsidR="00CF793C" w:rsidRDefault="00CF793C" w:rsidP="00CF793C">
      <w:pPr>
        <w:pStyle w:val="ListParagraph"/>
        <w:numPr>
          <w:ilvl w:val="0"/>
          <w:numId w:val="25"/>
        </w:numPr>
      </w:pPr>
      <w:r>
        <w:t>Source</w:t>
      </w:r>
    </w:p>
    <w:p w:rsidR="00CF793C" w:rsidRDefault="00CF793C" w:rsidP="00CF793C">
      <w:pPr>
        <w:pStyle w:val="ListParagraph"/>
        <w:numPr>
          <w:ilvl w:val="0"/>
          <w:numId w:val="25"/>
        </w:numPr>
      </w:pPr>
      <w:r>
        <w:t>Staging</w:t>
      </w:r>
    </w:p>
    <w:p w:rsidR="00CF793C" w:rsidRDefault="00CF793C" w:rsidP="00CF793C">
      <w:pPr>
        <w:pStyle w:val="ListParagraph"/>
        <w:numPr>
          <w:ilvl w:val="0"/>
          <w:numId w:val="25"/>
        </w:numPr>
      </w:pPr>
      <w:r>
        <w:t>ETL</w:t>
      </w:r>
    </w:p>
    <w:p w:rsidR="00CF793C" w:rsidRDefault="00CF793C" w:rsidP="00CF793C">
      <w:pPr>
        <w:pStyle w:val="ListParagraph"/>
        <w:numPr>
          <w:ilvl w:val="0"/>
          <w:numId w:val="25"/>
        </w:numPr>
      </w:pPr>
      <w:r>
        <w:t>Data Marts</w:t>
      </w:r>
    </w:p>
    <w:p w:rsidR="00CF793C" w:rsidRDefault="00CF793C" w:rsidP="00CF793C">
      <w:pPr>
        <w:pStyle w:val="ListParagraph"/>
        <w:numPr>
          <w:ilvl w:val="0"/>
          <w:numId w:val="25"/>
        </w:numPr>
      </w:pPr>
      <w:r>
        <w:t>Business requirements</w:t>
      </w:r>
    </w:p>
    <w:p w:rsidR="00CF793C" w:rsidRDefault="00CF793C" w:rsidP="00CF793C">
      <w:pPr>
        <w:pStyle w:val="ListParagraph"/>
        <w:numPr>
          <w:ilvl w:val="0"/>
          <w:numId w:val="25"/>
        </w:numPr>
      </w:pPr>
      <w:r>
        <w:t>Time attribute of Data</w:t>
      </w:r>
    </w:p>
    <w:p w:rsidR="00CF793C" w:rsidRDefault="00CF793C" w:rsidP="00A9403C">
      <w:pPr>
        <w:ind w:left="360"/>
      </w:pPr>
    </w:p>
    <w:p w:rsidR="00862C1A" w:rsidRDefault="00862C1A" w:rsidP="00862C1A"/>
    <w:p w:rsidR="00862C1A" w:rsidRDefault="00862C1A" w:rsidP="00862C1A">
      <w:r>
        <w:t>WORKS CITED:</w:t>
      </w:r>
    </w:p>
    <w:p w:rsidR="00D621D7" w:rsidRDefault="00D621D7" w:rsidP="00D621D7">
      <w:pPr>
        <w:pStyle w:val="NormalWeb"/>
        <w:shd w:val="clear" w:color="auto" w:fill="FFFFFF"/>
        <w:spacing w:before="0" w:beforeAutospacing="0" w:after="360" w:afterAutospacing="0"/>
        <w:jc w:val="both"/>
        <w:textAlignment w:val="baseline"/>
        <w:rPr>
          <w:rFonts w:ascii="Tahoma" w:hAnsi="Tahoma" w:cs="Tahoma"/>
          <w:color w:val="444444"/>
          <w:sz w:val="18"/>
          <w:szCs w:val="18"/>
        </w:rPr>
      </w:pPr>
      <w:r>
        <w:rPr>
          <w:rFonts w:ascii="Tahoma" w:hAnsi="Tahoma" w:cs="Tahoma"/>
          <w:color w:val="444444"/>
          <w:sz w:val="18"/>
          <w:szCs w:val="18"/>
        </w:rPr>
        <w:t xml:space="preserve">Breslin, Mary. 2004. “Data Warehousing Battle of the Giants: Comparing the Basics of the Kimball and </w:t>
      </w:r>
      <w:proofErr w:type="spellStart"/>
      <w:r>
        <w:rPr>
          <w:rFonts w:ascii="Tahoma" w:hAnsi="Tahoma" w:cs="Tahoma"/>
          <w:color w:val="444444"/>
          <w:sz w:val="18"/>
          <w:szCs w:val="18"/>
        </w:rPr>
        <w:t>Inmon</w:t>
      </w:r>
      <w:proofErr w:type="spellEnd"/>
      <w:r>
        <w:rPr>
          <w:rFonts w:ascii="Tahoma" w:hAnsi="Tahoma" w:cs="Tahoma"/>
          <w:color w:val="444444"/>
          <w:sz w:val="18"/>
          <w:szCs w:val="18"/>
        </w:rPr>
        <w:t xml:space="preserve"> Models” Business Intelligence Journal, Winter 2004. Accessed May 22, 2016.</w:t>
      </w: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roofErr w:type="spellStart"/>
      <w:r>
        <w:rPr>
          <w:rFonts w:ascii="Tahoma" w:hAnsi="Tahoma" w:cs="Tahoma"/>
          <w:color w:val="444444"/>
          <w:sz w:val="18"/>
          <w:szCs w:val="18"/>
        </w:rPr>
        <w:t>Inmon</w:t>
      </w:r>
      <w:proofErr w:type="spellEnd"/>
      <w:r>
        <w:rPr>
          <w:rFonts w:ascii="Tahoma" w:hAnsi="Tahoma" w:cs="Tahoma"/>
          <w:color w:val="444444"/>
          <w:sz w:val="18"/>
          <w:szCs w:val="18"/>
        </w:rPr>
        <w:t>, W. H. </w:t>
      </w:r>
      <w:r>
        <w:rPr>
          <w:rStyle w:val="Emphasis"/>
          <w:rFonts w:ascii="Tahoma" w:eastAsiaTheme="majorEastAsia" w:hAnsi="Tahoma" w:cs="Tahoma"/>
          <w:color w:val="444444"/>
          <w:sz w:val="18"/>
          <w:szCs w:val="18"/>
          <w:bdr w:val="none" w:sz="0" w:space="0" w:color="auto" w:frame="1"/>
        </w:rPr>
        <w:t>Building the Data Warehouse, Fourth Edition</w:t>
      </w:r>
      <w:r>
        <w:rPr>
          <w:rFonts w:ascii="Tahoma" w:hAnsi="Tahoma" w:cs="Tahoma"/>
          <w:color w:val="444444"/>
          <w:sz w:val="18"/>
          <w:szCs w:val="18"/>
        </w:rPr>
        <w:t>. John Wiley &amp; Sons., 2005.</w:t>
      </w:r>
    </w:p>
    <w:p w:rsidR="00CF793C" w:rsidRDefault="00CF793C"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roofErr w:type="spellStart"/>
      <w:r>
        <w:rPr>
          <w:rFonts w:ascii="Tahoma" w:hAnsi="Tahoma" w:cs="Tahoma"/>
          <w:color w:val="444444"/>
          <w:sz w:val="18"/>
          <w:szCs w:val="18"/>
        </w:rPr>
        <w:t>Marakas</w:t>
      </w:r>
      <w:proofErr w:type="spellEnd"/>
      <w:r>
        <w:rPr>
          <w:rFonts w:ascii="Tahoma" w:hAnsi="Tahoma" w:cs="Tahoma"/>
          <w:color w:val="444444"/>
          <w:sz w:val="18"/>
          <w:szCs w:val="18"/>
        </w:rPr>
        <w:t>, George M. </w:t>
      </w:r>
      <w:r>
        <w:rPr>
          <w:rStyle w:val="Emphasis"/>
          <w:rFonts w:ascii="Tahoma" w:eastAsiaTheme="majorEastAsia" w:hAnsi="Tahoma" w:cs="Tahoma"/>
          <w:color w:val="444444"/>
          <w:sz w:val="18"/>
          <w:szCs w:val="18"/>
          <w:bdr w:val="none" w:sz="0" w:space="0" w:color="auto" w:frame="1"/>
        </w:rPr>
        <w:t>Modern Data Warehousing, Mining, And Visualization</w:t>
      </w:r>
      <w:r>
        <w:rPr>
          <w:rFonts w:ascii="Tahoma" w:hAnsi="Tahoma" w:cs="Tahoma"/>
          <w:color w:val="444444"/>
          <w:sz w:val="18"/>
          <w:szCs w:val="18"/>
        </w:rPr>
        <w:t>. Prentice Hall, 2003.</w:t>
      </w:r>
    </w:p>
    <w:p w:rsidR="00CF793C" w:rsidRDefault="00CF793C"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roofErr w:type="spellStart"/>
      <w:r>
        <w:rPr>
          <w:rFonts w:ascii="Tahoma" w:hAnsi="Tahoma" w:cs="Tahoma"/>
          <w:color w:val="444444"/>
          <w:sz w:val="18"/>
          <w:szCs w:val="18"/>
        </w:rPr>
        <w:t>Inmon</w:t>
      </w:r>
      <w:proofErr w:type="spellEnd"/>
      <w:r>
        <w:rPr>
          <w:rFonts w:ascii="Tahoma" w:hAnsi="Tahoma" w:cs="Tahoma"/>
          <w:color w:val="444444"/>
          <w:sz w:val="18"/>
          <w:szCs w:val="18"/>
        </w:rPr>
        <w:t>, W. H. 2010. “A TALE OF TWO ARCHITECTURES” </w:t>
      </w:r>
      <w:hyperlink r:id="rId10" w:history="1">
        <w:r>
          <w:rPr>
            <w:rStyle w:val="Hyperlink"/>
            <w:rFonts w:ascii="Tahoma" w:hAnsi="Tahoma" w:cs="Tahoma"/>
            <w:color w:val="336699"/>
            <w:sz w:val="18"/>
            <w:szCs w:val="18"/>
            <w:u w:val="none"/>
            <w:bdr w:val="none" w:sz="0" w:space="0" w:color="auto" w:frame="1"/>
          </w:rPr>
          <w:t>InmonCif.com</w:t>
        </w:r>
      </w:hyperlink>
      <w:r>
        <w:rPr>
          <w:rFonts w:ascii="Tahoma" w:hAnsi="Tahoma" w:cs="Tahoma"/>
          <w:color w:val="444444"/>
          <w:sz w:val="18"/>
          <w:szCs w:val="18"/>
        </w:rPr>
        <w:t>. Accessed May 23, 2016.</w:t>
      </w: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hyperlink r:id="rId11" w:history="1">
        <w:r>
          <w:rPr>
            <w:rStyle w:val="Hyperlink"/>
            <w:rFonts w:ascii="Tahoma" w:hAnsi="Tahoma" w:cs="Tahoma"/>
            <w:color w:val="336699"/>
            <w:sz w:val="18"/>
            <w:szCs w:val="18"/>
            <w:u w:val="none"/>
            <w:bdr w:val="none" w:sz="0" w:space="0" w:color="auto" w:frame="1"/>
          </w:rPr>
          <w:t>http://www.inmoncif.com/products/A%20TALE%20OF%20TWO%20ARCHITECTURES.pdf</w:t>
        </w:r>
      </w:hyperlink>
    </w:p>
    <w:p w:rsidR="00CF793C" w:rsidRDefault="00CF793C"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r>
        <w:rPr>
          <w:rFonts w:ascii="Tahoma" w:hAnsi="Tahoma" w:cs="Tahoma"/>
          <w:color w:val="444444"/>
          <w:sz w:val="18"/>
          <w:szCs w:val="18"/>
        </w:rPr>
        <w:t>Kimball, Ralph, and </w:t>
      </w:r>
      <w:proofErr w:type="spellStart"/>
      <w:r>
        <w:rPr>
          <w:rFonts w:ascii="Tahoma" w:hAnsi="Tahoma" w:cs="Tahoma"/>
          <w:color w:val="444444"/>
          <w:sz w:val="18"/>
          <w:szCs w:val="18"/>
        </w:rPr>
        <w:t>Margy</w:t>
      </w:r>
      <w:proofErr w:type="spellEnd"/>
      <w:r>
        <w:rPr>
          <w:rFonts w:ascii="Tahoma" w:hAnsi="Tahoma" w:cs="Tahoma"/>
          <w:color w:val="444444"/>
          <w:sz w:val="18"/>
          <w:szCs w:val="18"/>
        </w:rPr>
        <w:t xml:space="preserve"> Ross. </w:t>
      </w:r>
      <w:r>
        <w:rPr>
          <w:rStyle w:val="Emphasis"/>
          <w:rFonts w:ascii="Tahoma" w:eastAsiaTheme="majorEastAsia" w:hAnsi="Tahoma" w:cs="Tahoma"/>
          <w:color w:val="444444"/>
          <w:sz w:val="18"/>
          <w:szCs w:val="18"/>
          <w:bdr w:val="none" w:sz="0" w:space="0" w:color="auto" w:frame="1"/>
        </w:rPr>
        <w:t>The Data Warehouse Toolkit: The Definitive Guide to Dimensional Modeling, Third Edition</w:t>
      </w:r>
      <w:r>
        <w:rPr>
          <w:rFonts w:ascii="Tahoma" w:hAnsi="Tahoma" w:cs="Tahoma"/>
          <w:color w:val="444444"/>
          <w:sz w:val="18"/>
          <w:szCs w:val="18"/>
        </w:rPr>
        <w:t>. John Wiley &amp; Sons. 2013. Books24x7.</w:t>
      </w:r>
    </w:p>
    <w:p w:rsidR="00CF793C" w:rsidRDefault="00CF793C"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r>
        <w:rPr>
          <w:rFonts w:ascii="Tahoma" w:hAnsi="Tahoma" w:cs="Tahoma"/>
          <w:color w:val="444444"/>
          <w:sz w:val="18"/>
          <w:szCs w:val="18"/>
        </w:rPr>
        <w:t>Stanford. 2003. “Data Warehousing Concepts” Stanford.edu. Accessed May 26, 2016.</w:t>
      </w:r>
      <w:hyperlink r:id="rId12" w:anchor="i1006297" w:history="1">
        <w:r>
          <w:rPr>
            <w:rStyle w:val="Hyperlink"/>
            <w:rFonts w:ascii="Tahoma" w:hAnsi="Tahoma" w:cs="Tahoma"/>
            <w:color w:val="336699"/>
            <w:sz w:val="18"/>
            <w:szCs w:val="18"/>
            <w:u w:val="none"/>
            <w:bdr w:val="none" w:sz="0" w:space="0" w:color="auto" w:frame="1"/>
          </w:rPr>
          <w:t>https://web.stanford.edu/dept/itss/docs/oracle/10g/server.101/b10736/concept.htm#i1006297</w:t>
        </w:r>
      </w:hyperlink>
    </w:p>
    <w:p w:rsidR="00CF793C" w:rsidRDefault="00CF793C"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
    <w:p w:rsidR="00D621D7" w:rsidRDefault="00D621D7" w:rsidP="00D621D7">
      <w:pPr>
        <w:pStyle w:val="NormalWeb"/>
        <w:shd w:val="clear" w:color="auto" w:fill="FFFFFF"/>
        <w:spacing w:before="0" w:beforeAutospacing="0" w:after="0" w:afterAutospacing="0"/>
        <w:jc w:val="both"/>
        <w:textAlignment w:val="baseline"/>
        <w:rPr>
          <w:rFonts w:ascii="Tahoma" w:hAnsi="Tahoma" w:cs="Tahoma"/>
          <w:color w:val="444444"/>
          <w:sz w:val="18"/>
          <w:szCs w:val="18"/>
        </w:rPr>
      </w:pPr>
      <w:proofErr w:type="spellStart"/>
      <w:r>
        <w:rPr>
          <w:rFonts w:ascii="Tahoma" w:hAnsi="Tahoma" w:cs="Tahoma"/>
          <w:color w:val="444444"/>
          <w:sz w:val="18"/>
          <w:szCs w:val="18"/>
        </w:rPr>
        <w:t>Zentut</w:t>
      </w:r>
      <w:proofErr w:type="spellEnd"/>
      <w:r>
        <w:rPr>
          <w:rFonts w:ascii="Tahoma" w:hAnsi="Tahoma" w:cs="Tahoma"/>
          <w:color w:val="444444"/>
          <w:sz w:val="18"/>
          <w:szCs w:val="18"/>
        </w:rPr>
        <w:t>. 2016. “Ralph Kimball Data Warehouse Architecture” </w:t>
      </w:r>
      <w:hyperlink r:id="rId13" w:history="1">
        <w:r>
          <w:rPr>
            <w:rStyle w:val="Hyperlink"/>
            <w:rFonts w:ascii="Tahoma" w:hAnsi="Tahoma" w:cs="Tahoma"/>
            <w:color w:val="336699"/>
            <w:sz w:val="18"/>
            <w:szCs w:val="18"/>
            <w:u w:val="none"/>
            <w:bdr w:val="none" w:sz="0" w:space="0" w:color="auto" w:frame="1"/>
          </w:rPr>
          <w:t>Zentut.com</w:t>
        </w:r>
      </w:hyperlink>
      <w:r>
        <w:rPr>
          <w:rFonts w:ascii="Tahoma" w:hAnsi="Tahoma" w:cs="Tahoma"/>
          <w:color w:val="444444"/>
          <w:sz w:val="18"/>
          <w:szCs w:val="18"/>
        </w:rPr>
        <w:t>. Accessed May 25, 2016.  </w:t>
      </w:r>
      <w:hyperlink r:id="rId14" w:history="1">
        <w:r>
          <w:rPr>
            <w:rStyle w:val="Hyperlink"/>
            <w:rFonts w:ascii="Tahoma" w:hAnsi="Tahoma" w:cs="Tahoma"/>
            <w:color w:val="336699"/>
            <w:sz w:val="18"/>
            <w:szCs w:val="18"/>
            <w:u w:val="none"/>
            <w:bdr w:val="none" w:sz="0" w:space="0" w:color="auto" w:frame="1"/>
          </w:rPr>
          <w:t>http://www.zentut.com/data-warehouse/ralph-kimball-data-warehouse-architecture/</w:t>
        </w:r>
      </w:hyperlink>
    </w:p>
    <w:p w:rsidR="00D621D7" w:rsidRDefault="00D621D7"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913" w:rsidRDefault="00967913" w:rsidP="00255876">
      <w:pPr>
        <w:spacing w:after="0" w:line="240" w:lineRule="auto"/>
      </w:pPr>
      <w:r>
        <w:separator/>
      </w:r>
    </w:p>
  </w:endnote>
  <w:endnote w:type="continuationSeparator" w:id="0">
    <w:p w:rsidR="00967913" w:rsidRDefault="00967913"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F93" w:rsidRDefault="00765F9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IST722 Unit 02 Participation Questions</w:t>
    </w:r>
  </w:p>
  <w:p w:rsidR="00765F93" w:rsidRDefault="0076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913" w:rsidRDefault="00967913" w:rsidP="00255876">
      <w:pPr>
        <w:spacing w:after="0" w:line="240" w:lineRule="auto"/>
      </w:pPr>
      <w:r>
        <w:separator/>
      </w:r>
    </w:p>
  </w:footnote>
  <w:footnote w:type="continuationSeparator" w:id="0">
    <w:p w:rsidR="00967913" w:rsidRDefault="00967913" w:rsidP="0025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036C"/>
    <w:multiLevelType w:val="hybridMultilevel"/>
    <w:tmpl w:val="F0A47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94D99"/>
    <w:multiLevelType w:val="hybridMultilevel"/>
    <w:tmpl w:val="6E147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7E00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13"/>
  </w:num>
  <w:num w:numId="4">
    <w:abstractNumId w:val="0"/>
  </w:num>
  <w:num w:numId="5">
    <w:abstractNumId w:val="24"/>
  </w:num>
  <w:num w:numId="6">
    <w:abstractNumId w:val="1"/>
  </w:num>
  <w:num w:numId="7">
    <w:abstractNumId w:val="10"/>
  </w:num>
  <w:num w:numId="8">
    <w:abstractNumId w:val="20"/>
  </w:num>
  <w:num w:numId="9">
    <w:abstractNumId w:val="4"/>
  </w:num>
  <w:num w:numId="10">
    <w:abstractNumId w:val="6"/>
  </w:num>
  <w:num w:numId="11">
    <w:abstractNumId w:val="15"/>
  </w:num>
  <w:num w:numId="12">
    <w:abstractNumId w:val="5"/>
  </w:num>
  <w:num w:numId="13">
    <w:abstractNumId w:val="3"/>
  </w:num>
  <w:num w:numId="14">
    <w:abstractNumId w:val="14"/>
  </w:num>
  <w:num w:numId="15">
    <w:abstractNumId w:val="16"/>
  </w:num>
  <w:num w:numId="16">
    <w:abstractNumId w:val="2"/>
  </w:num>
  <w:num w:numId="17">
    <w:abstractNumId w:val="12"/>
  </w:num>
  <w:num w:numId="18">
    <w:abstractNumId w:val="21"/>
  </w:num>
  <w:num w:numId="19">
    <w:abstractNumId w:val="9"/>
  </w:num>
  <w:num w:numId="20">
    <w:abstractNumId w:val="22"/>
  </w:num>
  <w:num w:numId="21">
    <w:abstractNumId w:val="8"/>
  </w:num>
  <w:num w:numId="22">
    <w:abstractNumId w:val="18"/>
  </w:num>
  <w:num w:numId="23">
    <w:abstractNumId w:val="23"/>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D5307"/>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4611F"/>
    <w:rsid w:val="00351483"/>
    <w:rsid w:val="00351854"/>
    <w:rsid w:val="00352F01"/>
    <w:rsid w:val="0035372B"/>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65F93"/>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5AAF"/>
    <w:rsid w:val="008379BA"/>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1F31"/>
    <w:rsid w:val="008D08D6"/>
    <w:rsid w:val="008D6B56"/>
    <w:rsid w:val="008E630D"/>
    <w:rsid w:val="008E757E"/>
    <w:rsid w:val="009053AB"/>
    <w:rsid w:val="00915B2F"/>
    <w:rsid w:val="00925904"/>
    <w:rsid w:val="00926B20"/>
    <w:rsid w:val="00926E31"/>
    <w:rsid w:val="00937729"/>
    <w:rsid w:val="00941B8F"/>
    <w:rsid w:val="009607A6"/>
    <w:rsid w:val="00967913"/>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403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CF793C"/>
    <w:rsid w:val="00D00176"/>
    <w:rsid w:val="00D03387"/>
    <w:rsid w:val="00D05AA0"/>
    <w:rsid w:val="00D21D18"/>
    <w:rsid w:val="00D419D3"/>
    <w:rsid w:val="00D42FCB"/>
    <w:rsid w:val="00D54795"/>
    <w:rsid w:val="00D61EEF"/>
    <w:rsid w:val="00D621D7"/>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0C74"/>
    <w:rsid w:val="00E930E5"/>
    <w:rsid w:val="00EA262C"/>
    <w:rsid w:val="00EB20C6"/>
    <w:rsid w:val="00EB3FF9"/>
    <w:rsid w:val="00EB7362"/>
    <w:rsid w:val="00EC190A"/>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1108"/>
  <w15:docId w15:val="{DAC5F72B-2560-4A37-859C-E80E8FF9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621D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537">
      <w:bodyDiv w:val="1"/>
      <w:marLeft w:val="0"/>
      <w:marRight w:val="0"/>
      <w:marTop w:val="0"/>
      <w:marBottom w:val="0"/>
      <w:divBdr>
        <w:top w:val="none" w:sz="0" w:space="0" w:color="auto"/>
        <w:left w:val="none" w:sz="0" w:space="0" w:color="auto"/>
        <w:bottom w:val="none" w:sz="0" w:space="0" w:color="auto"/>
        <w:right w:val="none" w:sz="0" w:space="0" w:color="auto"/>
      </w:divBdr>
    </w:div>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entu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anford.edu/dept/itss/docs/oracle/10g/server.101/b10736/concept.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moncif.com/products/A%20TALE%20OF%20TWO%20ARCHITECTUR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nmoncif.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ntut.com/data-warehouse/ralph-kimball-data-warehous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CAA9A-EFF3-4115-BA6C-975B2FFCB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Harsh Rajesh Darji</cp:lastModifiedBy>
  <cp:revision>2</cp:revision>
  <cp:lastPrinted>2009-02-04T16:48:00Z</cp:lastPrinted>
  <dcterms:created xsi:type="dcterms:W3CDTF">2019-01-31T20:58:00Z</dcterms:created>
  <dcterms:modified xsi:type="dcterms:W3CDTF">2019-01-31T20:58:00Z</dcterms:modified>
</cp:coreProperties>
</file>