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drawing>
          <wp:inline distT="0" distB="0" distL="0" distR="0">
            <wp:extent cx="3429000" cy="866775"/>
            <wp:effectExtent t="0" r="0" b="0" l="0"/>
            <wp:docPr id="1" name="logo" descr="Lotus logo" title="Dyuthi Pattu Sare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866775"/>
                    </a:xfrm>
                    <a:prstGeom prst="rect">
                      <a:avLst/>
                    </a:prstGeom>
                  </pic:spPr>
                </pic:pic>
              </a:graphicData>
            </a:graphic>
          </wp:inline>
        </w:drawing>
      </w:r>
    </w:p>
    <w:p>
      <w:pPr>
        <w:spacing w:before="240"/>
        <w:jc w:val="center"/>
      </w:pPr>
      <w:r>
        <w:rPr>
          <w:b/>
          <w:bCs/>
          <w:color w:val="B8860B"/>
          <w:sz w:val="34"/>
          <w:szCs w:val="34"/>
        </w:rPr>
        <w:t xml:space="preserve">Brand Guidelines</w:t>
      </w:r>
    </w:p>
    <w:p>
      <w:pPr>
        <w:spacing w:before="80"/>
        <w:jc w:val="center"/>
      </w:pPr>
      <w:r>
        <w:rPr>
          <w:i/>
          <w:iCs/>
          <w:color w:val="4E1E24"/>
          <w:sz w:val="24"/>
          <w:szCs w:val="24"/>
        </w:rPr>
        <w:t xml:space="preserve">Direct From Weavers</w:t>
      </w:r>
    </w:p>
    <w:p>
      <w:pPr>
        <w:spacing w:before="40"/>
        <w:jc w:val="center"/>
      </w:pPr>
      <w:r>
        <w:rPr>
          <w:color w:val="888888"/>
          <w:sz w:val="20"/>
          <w:szCs w:val="20"/>
        </w:rPr>
        <w:t xml:space="preserve">A Legacy Woven in Silk</w:t>
      </w:r>
    </w:p>
    <w:p>
      <w:r>
        <w:br w:type="page"/>
      </w:r>
    </w:p>
    <w:p>
      <w:pPr>
        <w:pStyle w:val="Heading1"/>
      </w:pPr>
      <w:r>
        <w:t xml:space="preserve">1. Brand Essence</w:t>
      </w:r>
    </w:p>
    <w:p>
      <w:pPr>
        <w:spacing w:after="120"/>
      </w:pPr>
      <w:r>
        <w:t xml:space="preserve">Dyuthi Pattu Sarees is a premium handloom saree brand sourcing directly from master weavers across India. The brand celebrates authenticity, craftsmanship, and India’s textile heritage with an elegant, traditional yet modern identity.</w:t>
      </w:r>
    </w:p>
    <w:p>
      <w:pPr>
        <w:pStyle w:val="Heading2"/>
      </w:pPr>
      <w:r>
        <w:t xml:space="preserve">Brand Pillars</w:t>
      </w:r>
    </w:p>
    <w:p>
      <w:pPr>
        <w:pStyle w:val="ListParagraph"/>
        <w:numPr>
          <w:ilvl w:val="0"/>
          <w:numId w:val="2"/>
        </w:numPr>
        <w:spacing w:after="60"/>
      </w:pPr>
      <w:r>
        <w:t xml:space="preserve">Authenticity — sourced direct from weavers</w:t>
      </w:r>
    </w:p>
    <w:p>
      <w:pPr>
        <w:pStyle w:val="ListParagraph"/>
        <w:numPr>
          <w:ilvl w:val="0"/>
          <w:numId w:val="2"/>
        </w:numPr>
        <w:spacing w:after="60"/>
      </w:pPr>
      <w:r>
        <w:t xml:space="preserve">Craftsmanship — time-honoured handloom techniques</w:t>
      </w:r>
    </w:p>
    <w:p>
      <w:pPr>
        <w:pStyle w:val="ListParagraph"/>
        <w:numPr>
          <w:ilvl w:val="0"/>
          <w:numId w:val="2"/>
        </w:numPr>
        <w:spacing w:after="60"/>
      </w:pPr>
      <w:r>
        <w:t xml:space="preserve">Heritage — celebrating India’s textile traditions</w:t>
      </w:r>
    </w:p>
    <w:p>
      <w:pPr>
        <w:pStyle w:val="ListParagraph"/>
        <w:numPr>
          <w:ilvl w:val="0"/>
          <w:numId w:val="2"/>
        </w:numPr>
        <w:spacing w:after="60"/>
      </w:pPr>
      <w:r>
        <w:t xml:space="preserve">Premium — refined, elegant, trustworthy</w:t>
      </w:r>
    </w:p>
    <w:p>
      <w:pPr>
        <w:pStyle w:val="Heading2"/>
      </w:pPr>
      <w:r>
        <w:t xml:space="preserve">Voice &amp; Tone</w:t>
      </w:r>
    </w:p>
    <w:p>
      <w:pPr>
        <w:pStyle w:val="ListParagraph"/>
        <w:numPr>
          <w:ilvl w:val="0"/>
          <w:numId w:val="2"/>
        </w:numPr>
        <w:spacing w:after="60"/>
      </w:pPr>
      <w:r>
        <w:t xml:space="preserve">Warm, refined, and heritage-led — never loud or generic.</w:t>
      </w:r>
    </w:p>
    <w:p>
      <w:pPr>
        <w:pStyle w:val="ListParagraph"/>
        <w:numPr>
          <w:ilvl w:val="0"/>
          <w:numId w:val="2"/>
        </w:numPr>
        <w:spacing w:after="60"/>
      </w:pPr>
      <w:r>
        <w:t xml:space="preserve">Sentence case for UI; storytelling that honours the weaver and the wearer.</w:t>
      </w:r>
    </w:p>
    <w:p>
      <w:pPr>
        <w:pStyle w:val="ListParagraph"/>
        <w:numPr>
          <w:ilvl w:val="0"/>
          <w:numId w:val="2"/>
        </w:numPr>
        <w:spacing w:after="60"/>
      </w:pPr>
      <w:r>
        <w:t xml:space="preserve">Key lines: “Treasures from Timeless Traditions”, “A Legacy Woven in Silk”, “Direct From Weavers”.</w:t>
      </w:r>
    </w:p>
    <w:p>
      <w:pPr>
        <w:pStyle w:val="Heading1"/>
      </w:pPr>
      <w:r>
        <w:t xml:space="preserve">2. Primary Colors</w:t>
      </w:r>
    </w:p>
    <w:p>
      <w:pPr>
        <w:spacing w:after="120"/>
      </w:pPr>
      <w:r>
        <w:t xml:space="preserve">These define the brand’s core identity and should lead every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tcBorders>
              <w:top w:val="single" w:color="D8C9B0" w:sz="1"/>
              <w:left w:val="single" w:color="D8C9B0" w:sz="1"/>
              <w:bottom w:val="single" w:color="D8C9B0" w:sz="1"/>
              <w:right w:val="single" w:color="D8C9B0" w:sz="1"/>
            </w:tcBorders>
            <w:shd w:fill="4E1E24" w:val="clear"/>
            <w:tcMar>
              <w:top w:type="dxa" w:w="80"/>
              <w:left w:type="dxa" w:w="120"/>
              <w:bottom w:type="dxa" w:w="80"/>
              <w:right w:type="dxa" w:w="120"/>
            </w:tcMar>
          </w:tcPr>
          <w:p>
            <w:pPr>
              <w:jc w:val="left"/>
            </w:pPr>
            <w:r>
              <w:rPr>
                <w:b/>
                <w:bCs/>
                <w:color w:val="FFFFFF"/>
              </w:rPr>
              <w:t xml:space="preserve">Name</w:t>
            </w:r>
          </w:p>
        </w:tc>
        <w:tc>
          <w:tcPr>
            <w:tcW w:type="dxa" w:w="1900"/>
            <w:tcBorders>
              <w:top w:val="single" w:color="D8C9B0" w:sz="1"/>
              <w:left w:val="single" w:color="D8C9B0" w:sz="1"/>
              <w:bottom w:val="single" w:color="D8C9B0" w:sz="1"/>
              <w:right w:val="single" w:color="D8C9B0" w:sz="1"/>
            </w:tcBorders>
            <w:shd w:fill="4E1E24" w:val="clear"/>
            <w:tcMar>
              <w:top w:type="dxa" w:w="80"/>
              <w:left w:type="dxa" w:w="120"/>
              <w:bottom w:type="dxa" w:w="80"/>
              <w:right w:type="dxa" w:w="120"/>
            </w:tcMar>
          </w:tcPr>
          <w:p>
            <w:pPr>
              <w:jc w:val="left"/>
            </w:pPr>
            <w:r>
              <w:rPr>
                <w:b/>
                <w:bCs/>
                <w:color w:val="FFFFFF"/>
              </w:rPr>
              <w:t xml:space="preserve">Hex</w:t>
            </w:r>
          </w:p>
        </w:tc>
        <w:tc>
          <w:tcPr>
            <w:tcW w:type="dxa" w:w="4860"/>
            <w:tcBorders>
              <w:top w:val="single" w:color="D8C9B0" w:sz="1"/>
              <w:left w:val="single" w:color="D8C9B0" w:sz="1"/>
              <w:bottom w:val="single" w:color="D8C9B0" w:sz="1"/>
              <w:right w:val="single" w:color="D8C9B0" w:sz="1"/>
            </w:tcBorders>
            <w:shd w:fill="4E1E24" w:val="clear"/>
            <w:tcMar>
              <w:top w:type="dxa" w:w="80"/>
              <w:left w:type="dxa" w:w="120"/>
              <w:bottom w:type="dxa" w:w="80"/>
              <w:right w:type="dxa" w:w="120"/>
            </w:tcMar>
          </w:tcPr>
          <w:p>
            <w:pPr>
              <w:jc w:val="left"/>
            </w:pPr>
            <w:r>
              <w:rPr>
                <w:b/>
                <w:bCs/>
                <w:color w:val="FFFFFF"/>
              </w:rPr>
              <w:t xml:space="preserve">Usage</w:t>
            </w:r>
          </w:p>
        </w:tc>
      </w:tr>
      <w:tr>
        <w:tc>
          <w:tcPr>
            <w:tcW w:type="dxa" w:w="260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Brand Pink</w:t>
            </w:r>
          </w:p>
        </w:tc>
        <w:tc>
          <w:tcPr>
            <w:tcW w:type="dxa" w:w="1900"/>
            <w:tcBorders>
              <w:top w:val="single" w:color="D8C9B0" w:sz="1"/>
              <w:left w:val="single" w:color="D8C9B0" w:sz="1"/>
              <w:bottom w:val="single" w:color="D8C9B0" w:sz="1"/>
              <w:right w:val="single" w:color="D8C9B0" w:sz="1"/>
            </w:tcBorders>
            <w:shd w:fill="C2185B" w:val="clear"/>
            <w:tcMar>
              <w:top w:type="dxa" w:w="80"/>
              <w:left w:type="dxa" w:w="120"/>
              <w:bottom w:type="dxa" w:w="80"/>
              <w:right w:type="dxa" w:w="120"/>
            </w:tcMar>
          </w:tcPr>
          <w:p>
            <w:pPr>
              <w:jc w:val="left"/>
            </w:pPr>
            <w:r>
              <w:rPr>
                <w:b/>
                <w:bCs/>
                <w:color w:val="FFFFFF"/>
              </w:rPr>
              <w:t xml:space="preserve">C2185B</w:t>
            </w:r>
          </w:p>
        </w:tc>
        <w:tc>
          <w:tcPr>
            <w:tcW w:type="dxa" w:w="486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Primary actions, CTAs, active states, accents</w:t>
            </w:r>
          </w:p>
        </w:tc>
      </w:tr>
      <w:tr>
        <w:tc>
          <w:tcPr>
            <w:tcW w:type="dxa" w:w="260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Deep Maroon</w:t>
            </w:r>
          </w:p>
        </w:tc>
        <w:tc>
          <w:tcPr>
            <w:tcW w:type="dxa" w:w="1900"/>
            <w:tcBorders>
              <w:top w:val="single" w:color="D8C9B0" w:sz="1"/>
              <w:left w:val="single" w:color="D8C9B0" w:sz="1"/>
              <w:bottom w:val="single" w:color="D8C9B0" w:sz="1"/>
              <w:right w:val="single" w:color="D8C9B0" w:sz="1"/>
            </w:tcBorders>
            <w:shd w:fill="4E1E24" w:val="clear"/>
            <w:tcMar>
              <w:top w:type="dxa" w:w="80"/>
              <w:left w:type="dxa" w:w="120"/>
              <w:bottom w:type="dxa" w:w="80"/>
              <w:right w:type="dxa" w:w="120"/>
            </w:tcMar>
          </w:tcPr>
          <w:p>
            <w:pPr>
              <w:jc w:val="left"/>
            </w:pPr>
            <w:r>
              <w:rPr>
                <w:b/>
                <w:bCs/>
                <w:color w:val="FFFFFF"/>
              </w:rPr>
              <w:t xml:space="preserve">4E1E24</w:t>
            </w:r>
          </w:p>
        </w:tc>
        <w:tc>
          <w:tcPr>
            <w:tcW w:type="dxa" w:w="486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Headings, header text/icons, frame outlines</w:t>
            </w:r>
          </w:p>
        </w:tc>
      </w:tr>
      <w:tr>
        <w:tc>
          <w:tcPr>
            <w:tcW w:type="dxa" w:w="260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Hero Maroon</w:t>
            </w:r>
          </w:p>
        </w:tc>
        <w:tc>
          <w:tcPr>
            <w:tcW w:type="dxa" w:w="1900"/>
            <w:tcBorders>
              <w:top w:val="single" w:color="D8C9B0" w:sz="1"/>
              <w:left w:val="single" w:color="D8C9B0" w:sz="1"/>
              <w:bottom w:val="single" w:color="D8C9B0" w:sz="1"/>
              <w:right w:val="single" w:color="D8C9B0" w:sz="1"/>
            </w:tcBorders>
            <w:shd w:fill="4A1F1F" w:val="clear"/>
            <w:tcMar>
              <w:top w:type="dxa" w:w="80"/>
              <w:left w:type="dxa" w:w="120"/>
              <w:bottom w:type="dxa" w:w="80"/>
              <w:right w:type="dxa" w:w="120"/>
            </w:tcMar>
          </w:tcPr>
          <w:p>
            <w:pPr>
              <w:jc w:val="left"/>
            </w:pPr>
            <w:r>
              <w:rPr>
                <w:b/>
                <w:bCs/>
                <w:color w:val="FFFFFF"/>
              </w:rPr>
              <w:t xml:space="preserve">4A1F1F</w:t>
            </w:r>
          </w:p>
        </w:tc>
        <w:tc>
          <w:tcPr>
            <w:tcW w:type="dxa" w:w="486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Hero / feature section backgrounds</w:t>
            </w:r>
          </w:p>
        </w:tc>
      </w:tr>
      <w:tr>
        <w:tc>
          <w:tcPr>
            <w:tcW w:type="dxa" w:w="260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Antique Gold</w:t>
            </w:r>
          </w:p>
        </w:tc>
        <w:tc>
          <w:tcPr>
            <w:tcW w:type="dxa" w:w="1900"/>
            <w:tcBorders>
              <w:top w:val="single" w:color="D8C9B0" w:sz="1"/>
              <w:left w:val="single" w:color="D8C9B0" w:sz="1"/>
              <w:bottom w:val="single" w:color="D8C9B0" w:sz="1"/>
              <w:right w:val="single" w:color="D8C9B0" w:sz="1"/>
            </w:tcBorders>
            <w:shd w:fill="B8860B" w:val="clear"/>
            <w:tcMar>
              <w:top w:type="dxa" w:w="80"/>
              <w:left w:type="dxa" w:w="120"/>
              <w:bottom w:type="dxa" w:w="80"/>
              <w:right w:type="dxa" w:w="120"/>
            </w:tcMar>
          </w:tcPr>
          <w:p>
            <w:pPr>
              <w:jc w:val="left"/>
            </w:pPr>
            <w:r>
              <w:rPr>
                <w:b/>
                <w:bCs/>
                <w:color w:val="FFFFFF"/>
              </w:rPr>
              <w:t xml:space="preserve">B8860B</w:t>
            </w:r>
          </w:p>
        </w:tc>
        <w:tc>
          <w:tcPr>
            <w:tcW w:type="dxa" w:w="486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Announcement bar, hero CTA, premium accents</w:t>
            </w:r>
          </w:p>
        </w:tc>
      </w:tr>
    </w:tbl>
    <w:p>
      <w:pPr>
        <w:pStyle w:val="Heading1"/>
      </w:pPr>
      <w:r>
        <w:t xml:space="preserve">3. Secondary Colors</w:t>
      </w:r>
    </w:p>
    <w:p>
      <w:pPr>
        <w:spacing w:after="120"/>
      </w:pPr>
      <w:r>
        <w:t xml:space="preserve">Supporting tones for backgrounds, text, and decorative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tcBorders>
              <w:top w:val="single" w:color="D8C9B0" w:sz="1"/>
              <w:left w:val="single" w:color="D8C9B0" w:sz="1"/>
              <w:bottom w:val="single" w:color="D8C9B0" w:sz="1"/>
              <w:right w:val="single" w:color="D8C9B0" w:sz="1"/>
            </w:tcBorders>
            <w:shd w:fill="4E1E24" w:val="clear"/>
            <w:tcMar>
              <w:top w:type="dxa" w:w="80"/>
              <w:left w:type="dxa" w:w="120"/>
              <w:bottom w:type="dxa" w:w="80"/>
              <w:right w:type="dxa" w:w="120"/>
            </w:tcMar>
          </w:tcPr>
          <w:p>
            <w:pPr>
              <w:jc w:val="left"/>
            </w:pPr>
            <w:r>
              <w:rPr>
                <w:b/>
                <w:bCs/>
                <w:color w:val="FFFFFF"/>
              </w:rPr>
              <w:t xml:space="preserve">Name</w:t>
            </w:r>
          </w:p>
        </w:tc>
        <w:tc>
          <w:tcPr>
            <w:tcW w:type="dxa" w:w="1900"/>
            <w:tcBorders>
              <w:top w:val="single" w:color="D8C9B0" w:sz="1"/>
              <w:left w:val="single" w:color="D8C9B0" w:sz="1"/>
              <w:bottom w:val="single" w:color="D8C9B0" w:sz="1"/>
              <w:right w:val="single" w:color="D8C9B0" w:sz="1"/>
            </w:tcBorders>
            <w:shd w:fill="4E1E24" w:val="clear"/>
            <w:tcMar>
              <w:top w:type="dxa" w:w="80"/>
              <w:left w:type="dxa" w:w="120"/>
              <w:bottom w:type="dxa" w:w="80"/>
              <w:right w:type="dxa" w:w="120"/>
            </w:tcMar>
          </w:tcPr>
          <w:p>
            <w:pPr>
              <w:jc w:val="left"/>
            </w:pPr>
            <w:r>
              <w:rPr>
                <w:b/>
                <w:bCs/>
                <w:color w:val="FFFFFF"/>
              </w:rPr>
              <w:t xml:space="preserve">Hex</w:t>
            </w:r>
          </w:p>
        </w:tc>
        <w:tc>
          <w:tcPr>
            <w:tcW w:type="dxa" w:w="4860"/>
            <w:tcBorders>
              <w:top w:val="single" w:color="D8C9B0" w:sz="1"/>
              <w:left w:val="single" w:color="D8C9B0" w:sz="1"/>
              <w:bottom w:val="single" w:color="D8C9B0" w:sz="1"/>
              <w:right w:val="single" w:color="D8C9B0" w:sz="1"/>
            </w:tcBorders>
            <w:shd w:fill="4E1E24" w:val="clear"/>
            <w:tcMar>
              <w:top w:type="dxa" w:w="80"/>
              <w:left w:type="dxa" w:w="120"/>
              <w:bottom w:type="dxa" w:w="80"/>
              <w:right w:type="dxa" w:w="120"/>
            </w:tcMar>
          </w:tcPr>
          <w:p>
            <w:pPr>
              <w:jc w:val="left"/>
            </w:pPr>
            <w:r>
              <w:rPr>
                <w:b/>
                <w:bCs/>
                <w:color w:val="FFFFFF"/>
              </w:rPr>
              <w:t xml:space="preserve">Usage</w:t>
            </w:r>
          </w:p>
        </w:tc>
      </w:tr>
      <w:tr>
        <w:tc>
          <w:tcPr>
            <w:tcW w:type="dxa" w:w="260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Warm Cream</w:t>
            </w:r>
          </w:p>
        </w:tc>
        <w:tc>
          <w:tcPr>
            <w:tcW w:type="dxa" w:w="1900"/>
            <w:tcBorders>
              <w:top w:val="single" w:color="D8C9B0" w:sz="1"/>
              <w:left w:val="single" w:color="D8C9B0" w:sz="1"/>
              <w:bottom w:val="single" w:color="D8C9B0" w:sz="1"/>
              <w:right w:val="single" w:color="D8C9B0" w:sz="1"/>
            </w:tcBorders>
            <w:shd w:fill="F5EFE6" w:val="clear"/>
            <w:tcMar>
              <w:top w:type="dxa" w:w="80"/>
              <w:left w:type="dxa" w:w="120"/>
              <w:bottom w:type="dxa" w:w="80"/>
              <w:right w:type="dxa" w:w="120"/>
            </w:tcMar>
          </w:tcPr>
          <w:p>
            <w:pPr>
              <w:jc w:val="left"/>
            </w:pPr>
            <w:r>
              <w:rPr>
                <w:b/>
                <w:bCs/>
                <w:color w:val="222222"/>
              </w:rPr>
              <w:t xml:space="preserve">F5EFE6</w:t>
            </w:r>
          </w:p>
        </w:tc>
        <w:tc>
          <w:tcPr>
            <w:tcW w:type="dxa" w:w="486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Header background, soft section backgrounds</w:t>
            </w:r>
          </w:p>
        </w:tc>
      </w:tr>
      <w:tr>
        <w:tc>
          <w:tcPr>
            <w:tcW w:type="dxa" w:w="260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Cream / Ivory</w:t>
            </w:r>
          </w:p>
        </w:tc>
        <w:tc>
          <w:tcPr>
            <w:tcW w:type="dxa" w:w="1900"/>
            <w:tcBorders>
              <w:top w:val="single" w:color="D8C9B0" w:sz="1"/>
              <w:left w:val="single" w:color="D8C9B0" w:sz="1"/>
              <w:bottom w:val="single" w:color="D8C9B0" w:sz="1"/>
              <w:right w:val="single" w:color="D8C9B0" w:sz="1"/>
            </w:tcBorders>
            <w:shd w:fill="FFF8E7" w:val="clear"/>
            <w:tcMar>
              <w:top w:type="dxa" w:w="80"/>
              <w:left w:type="dxa" w:w="120"/>
              <w:bottom w:type="dxa" w:w="80"/>
              <w:right w:type="dxa" w:w="120"/>
            </w:tcMar>
          </w:tcPr>
          <w:p>
            <w:pPr>
              <w:jc w:val="left"/>
            </w:pPr>
            <w:r>
              <w:rPr>
                <w:b/>
                <w:bCs/>
                <w:color w:val="222222"/>
              </w:rPr>
              <w:t xml:space="preserve">FFF8E7</w:t>
            </w:r>
          </w:p>
        </w:tc>
        <w:tc>
          <w:tcPr>
            <w:tcW w:type="dxa" w:w="486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Announcement text, light surfaces</w:t>
            </w:r>
          </w:p>
        </w:tc>
      </w:tr>
      <w:tr>
        <w:tc>
          <w:tcPr>
            <w:tcW w:type="dxa" w:w="260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Ivory Matting</w:t>
            </w:r>
          </w:p>
        </w:tc>
        <w:tc>
          <w:tcPr>
            <w:tcW w:type="dxa" w:w="1900"/>
            <w:tcBorders>
              <w:top w:val="single" w:color="D8C9B0" w:sz="1"/>
              <w:left w:val="single" w:color="D8C9B0" w:sz="1"/>
              <w:bottom w:val="single" w:color="D8C9B0" w:sz="1"/>
              <w:right w:val="single" w:color="D8C9B0" w:sz="1"/>
            </w:tcBorders>
            <w:shd w:fill="FBF6EA" w:val="clear"/>
            <w:tcMar>
              <w:top w:type="dxa" w:w="80"/>
              <w:left w:type="dxa" w:w="120"/>
              <w:bottom w:type="dxa" w:w="80"/>
              <w:right w:type="dxa" w:w="120"/>
            </w:tcMar>
          </w:tcPr>
          <w:p>
            <w:pPr>
              <w:jc w:val="left"/>
            </w:pPr>
            <w:r>
              <w:rPr>
                <w:b/>
                <w:bCs/>
                <w:color w:val="222222"/>
              </w:rPr>
              <w:t xml:space="preserve">FBF6EA</w:t>
            </w:r>
          </w:p>
        </w:tc>
        <w:tc>
          <w:tcPr>
            <w:tcW w:type="dxa" w:w="486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Frame backing, matting behind imagery</w:t>
            </w:r>
          </w:p>
        </w:tc>
      </w:tr>
      <w:tr>
        <w:tc>
          <w:tcPr>
            <w:tcW w:type="dxa" w:w="260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Antique Gold (text)</w:t>
            </w:r>
          </w:p>
        </w:tc>
        <w:tc>
          <w:tcPr>
            <w:tcW w:type="dxa" w:w="1900"/>
            <w:tcBorders>
              <w:top w:val="single" w:color="D8C9B0" w:sz="1"/>
              <w:left w:val="single" w:color="D8C9B0" w:sz="1"/>
              <w:bottom w:val="single" w:color="D8C9B0" w:sz="1"/>
              <w:right w:val="single" w:color="D8C9B0" w:sz="1"/>
            </w:tcBorders>
            <w:shd w:fill="F8E7C5" w:val="clear"/>
            <w:tcMar>
              <w:top w:type="dxa" w:w="80"/>
              <w:left w:type="dxa" w:w="120"/>
              <w:bottom w:type="dxa" w:w="80"/>
              <w:right w:type="dxa" w:w="120"/>
            </w:tcMar>
          </w:tcPr>
          <w:p>
            <w:pPr>
              <w:jc w:val="left"/>
            </w:pPr>
            <w:r>
              <w:rPr>
                <w:b/>
                <w:bCs/>
                <w:color w:val="FFFFFF"/>
              </w:rPr>
              <w:t xml:space="preserve">F8E7C5</w:t>
            </w:r>
          </w:p>
        </w:tc>
        <w:tc>
          <w:tcPr>
            <w:tcW w:type="dxa" w:w="486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Hero headings on maroon</w:t>
            </w:r>
          </w:p>
        </w:tc>
      </w:tr>
      <w:tr>
        <w:tc>
          <w:tcPr>
            <w:tcW w:type="dxa" w:w="260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Warm Ivory (text)</w:t>
            </w:r>
          </w:p>
        </w:tc>
        <w:tc>
          <w:tcPr>
            <w:tcW w:type="dxa" w:w="1900"/>
            <w:tcBorders>
              <w:top w:val="single" w:color="D8C9B0" w:sz="1"/>
              <w:left w:val="single" w:color="D8C9B0" w:sz="1"/>
              <w:bottom w:val="single" w:color="D8C9B0" w:sz="1"/>
              <w:right w:val="single" w:color="D8C9B0" w:sz="1"/>
            </w:tcBorders>
            <w:shd w:fill="E8DCC7" w:val="clear"/>
            <w:tcMar>
              <w:top w:type="dxa" w:w="80"/>
              <w:left w:type="dxa" w:w="120"/>
              <w:bottom w:type="dxa" w:w="80"/>
              <w:right w:type="dxa" w:w="120"/>
            </w:tcMar>
          </w:tcPr>
          <w:p>
            <w:pPr>
              <w:jc w:val="left"/>
            </w:pPr>
            <w:r>
              <w:rPr>
                <w:b/>
                <w:bCs/>
                <w:color w:val="222222"/>
              </w:rPr>
              <w:t xml:space="preserve">E8DCC7</w:t>
            </w:r>
          </w:p>
        </w:tc>
        <w:tc>
          <w:tcPr>
            <w:tcW w:type="dxa" w:w="486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Hero body copy on maroon</w:t>
            </w:r>
          </w:p>
        </w:tc>
      </w:tr>
      <w:tr>
        <w:tc>
          <w:tcPr>
            <w:tcW w:type="dxa" w:w="260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Footer Maroon</w:t>
            </w:r>
          </w:p>
        </w:tc>
        <w:tc>
          <w:tcPr>
            <w:tcW w:type="dxa" w:w="1900"/>
            <w:tcBorders>
              <w:top w:val="single" w:color="D8C9B0" w:sz="1"/>
              <w:left w:val="single" w:color="D8C9B0" w:sz="1"/>
              <w:bottom w:val="single" w:color="D8C9B0" w:sz="1"/>
              <w:right w:val="single" w:color="D8C9B0" w:sz="1"/>
            </w:tcBorders>
            <w:shd w:fill="3A0D22" w:val="clear"/>
            <w:tcMar>
              <w:top w:type="dxa" w:w="80"/>
              <w:left w:type="dxa" w:w="120"/>
              <w:bottom w:type="dxa" w:w="80"/>
              <w:right w:type="dxa" w:w="120"/>
            </w:tcMar>
          </w:tcPr>
          <w:p>
            <w:pPr>
              <w:jc w:val="left"/>
            </w:pPr>
            <w:r>
              <w:rPr>
                <w:b/>
                <w:bCs/>
                <w:color w:val="FFFFFF"/>
              </w:rPr>
              <w:t xml:space="preserve">3A0D22</w:t>
            </w:r>
          </w:p>
        </w:tc>
        <w:tc>
          <w:tcPr>
            <w:tcW w:type="dxa" w:w="486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Footer background</w:t>
            </w:r>
          </w:p>
        </w:tc>
      </w:tr>
      <w:tr>
        <w:tc>
          <w:tcPr>
            <w:tcW w:type="dxa" w:w="260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Footer Gold</w:t>
            </w:r>
          </w:p>
        </w:tc>
        <w:tc>
          <w:tcPr>
            <w:tcW w:type="dxa" w:w="1900"/>
            <w:tcBorders>
              <w:top w:val="single" w:color="D8C9B0" w:sz="1"/>
              <w:left w:val="single" w:color="D8C9B0" w:sz="1"/>
              <w:bottom w:val="single" w:color="D8C9B0" w:sz="1"/>
              <w:right w:val="single" w:color="D8C9B0" w:sz="1"/>
            </w:tcBorders>
            <w:shd w:fill="F4C430" w:val="clear"/>
            <w:tcMar>
              <w:top w:type="dxa" w:w="80"/>
              <w:left w:type="dxa" w:w="120"/>
              <w:bottom w:type="dxa" w:w="80"/>
              <w:right w:type="dxa" w:w="120"/>
            </w:tcMar>
          </w:tcPr>
          <w:p>
            <w:pPr>
              <w:jc w:val="left"/>
            </w:pPr>
            <w:r>
              <w:rPr>
                <w:b/>
                <w:bCs/>
                <w:color w:val="FFFFFF"/>
              </w:rPr>
              <w:t xml:space="preserve">F4C430</w:t>
            </w:r>
          </w:p>
        </w:tc>
        <w:tc>
          <w:tcPr>
            <w:tcW w:type="dxa" w:w="486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Footer links / accents</w:t>
            </w:r>
          </w:p>
        </w:tc>
      </w:tr>
      <w:tr>
        <w:tc>
          <w:tcPr>
            <w:tcW w:type="dxa" w:w="260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Deep Red</w:t>
            </w:r>
          </w:p>
        </w:tc>
        <w:tc>
          <w:tcPr>
            <w:tcW w:type="dxa" w:w="1900"/>
            <w:tcBorders>
              <w:top w:val="single" w:color="D8C9B0" w:sz="1"/>
              <w:left w:val="single" w:color="D8C9B0" w:sz="1"/>
              <w:bottom w:val="single" w:color="D8C9B0" w:sz="1"/>
              <w:right w:val="single" w:color="D8C9B0" w:sz="1"/>
            </w:tcBorders>
            <w:shd w:fill="A30B2E" w:val="clear"/>
            <w:tcMar>
              <w:top w:type="dxa" w:w="80"/>
              <w:left w:type="dxa" w:w="120"/>
              <w:bottom w:type="dxa" w:w="80"/>
              <w:right w:type="dxa" w:w="120"/>
            </w:tcMar>
          </w:tcPr>
          <w:p>
            <w:pPr>
              <w:jc w:val="left"/>
            </w:pPr>
            <w:r>
              <w:rPr>
                <w:b/>
                <w:bCs/>
                <w:color w:val="FFFFFF"/>
              </w:rPr>
              <w:t xml:space="preserve">A30B2E</w:t>
            </w:r>
          </w:p>
        </w:tc>
        <w:tc>
          <w:tcPr>
            <w:tcW w:type="dxa" w:w="486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Dashboard section headings</w:t>
            </w:r>
          </w:p>
        </w:tc>
      </w:tr>
      <w:tr>
        <w:tc>
          <w:tcPr>
            <w:tcW w:type="dxa" w:w="260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Gold (frames)</w:t>
            </w:r>
          </w:p>
        </w:tc>
        <w:tc>
          <w:tcPr>
            <w:tcW w:type="dxa" w:w="1900"/>
            <w:tcBorders>
              <w:top w:val="single" w:color="D8C9B0" w:sz="1"/>
              <w:left w:val="single" w:color="D8C9B0" w:sz="1"/>
              <w:bottom w:val="single" w:color="D8C9B0" w:sz="1"/>
              <w:right w:val="single" w:color="D8C9B0" w:sz="1"/>
            </w:tcBorders>
            <w:shd w:fill="D4AF37" w:val="clear"/>
            <w:tcMar>
              <w:top w:type="dxa" w:w="80"/>
              <w:left w:type="dxa" w:w="120"/>
              <w:bottom w:type="dxa" w:w="80"/>
              <w:right w:type="dxa" w:w="120"/>
            </w:tcMar>
          </w:tcPr>
          <w:p>
            <w:pPr>
              <w:jc w:val="left"/>
            </w:pPr>
            <w:r>
              <w:rPr>
                <w:b/>
                <w:bCs/>
                <w:color w:val="FFFFFF"/>
              </w:rPr>
              <w:t xml:space="preserve">D4AF37</w:t>
            </w:r>
          </w:p>
        </w:tc>
        <w:tc>
          <w:tcPr>
            <w:tcW w:type="dxa" w:w="486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Decorative frame motifs, zari detail</w:t>
            </w:r>
          </w:p>
        </w:tc>
      </w:tr>
      <w:tr>
        <w:tc>
          <w:tcPr>
            <w:tcW w:type="dxa" w:w="260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Sparkle Gold</w:t>
            </w:r>
          </w:p>
        </w:tc>
        <w:tc>
          <w:tcPr>
            <w:tcW w:type="dxa" w:w="1900"/>
            <w:tcBorders>
              <w:top w:val="single" w:color="D8C9B0" w:sz="1"/>
              <w:left w:val="single" w:color="D8C9B0" w:sz="1"/>
              <w:bottom w:val="single" w:color="D8C9B0" w:sz="1"/>
              <w:right w:val="single" w:color="D8C9B0" w:sz="1"/>
            </w:tcBorders>
            <w:shd w:fill="F59E0B" w:val="clear"/>
            <w:tcMar>
              <w:top w:type="dxa" w:w="80"/>
              <w:left w:type="dxa" w:w="120"/>
              <w:bottom w:type="dxa" w:w="80"/>
              <w:right w:type="dxa" w:w="120"/>
            </w:tcMar>
          </w:tcPr>
          <w:p>
            <w:pPr>
              <w:jc w:val="left"/>
            </w:pPr>
            <w:r>
              <w:rPr>
                <w:b/>
                <w:bCs/>
                <w:color w:val="FFFFFF"/>
              </w:rPr>
              <w:t xml:space="preserve">F59E0B</w:t>
            </w:r>
          </w:p>
        </w:tc>
        <w:tc>
          <w:tcPr>
            <w:tcW w:type="dxa" w:w="4860"/>
            <w:tcBorders>
              <w:top w:val="single" w:color="D8C9B0" w:sz="1"/>
              <w:left w:val="single" w:color="D8C9B0" w:sz="1"/>
              <w:bottom w:val="single" w:color="D8C9B0" w:sz="1"/>
              <w:right w:val="single" w:color="D8C9B0" w:sz="1"/>
            </w:tcBorders>
            <w:tcMar>
              <w:top w:type="dxa" w:w="80"/>
              <w:left w:type="dxa" w:w="120"/>
              <w:bottom w:type="dxa" w:w="80"/>
              <w:right w:type="dxa" w:w="120"/>
            </w:tcMar>
          </w:tcPr>
          <w:p>
            <w:pPr>
              <w:jc w:val="left"/>
            </w:pPr>
            <w:r>
              <w:rPr>
                <w:b w:val="false"/>
                <w:bCs w:val="false"/>
                <w:color w:val="222222"/>
              </w:rPr>
              <w:t xml:space="preserve">Account / profile sparkle icon</w:t>
            </w:r>
          </w:p>
        </w:tc>
      </w:tr>
    </w:tbl>
    <w:p>
      <w:pPr>
        <w:pStyle w:val="Heading1"/>
      </w:pPr>
      <w:r>
        <w:t xml:space="preserve">4. Typography</w:t>
      </w:r>
    </w:p>
    <w:p>
      <w:pPr>
        <w:pStyle w:val="Heading2"/>
      </w:pPr>
      <w:r>
        <w:t xml:space="preserve">Primary Typeface</w:t>
      </w:r>
    </w:p>
    <w:p>
      <w:pPr>
        <w:pStyle w:val="ListParagraph"/>
        <w:numPr>
          <w:ilvl w:val="0"/>
          <w:numId w:val="2"/>
        </w:numPr>
        <w:spacing w:after="60"/>
      </w:pPr>
      <w:r>
        <w:t xml:space="preserve">Geist (sans-serif) — used across the web app for navigation, body, and UI.</w:t>
      </w:r>
    </w:p>
    <w:p>
      <w:pPr>
        <w:pStyle w:val="Heading2"/>
      </w:pPr>
      <w:r>
        <w:t xml:space="preserve">Display / Brand Typeface</w:t>
      </w:r>
    </w:p>
    <w:p>
      <w:pPr>
        <w:pStyle w:val="ListParagraph"/>
        <w:numPr>
          <w:ilvl w:val="0"/>
          <w:numId w:val="2"/>
        </w:numPr>
        <w:spacing w:after="60"/>
      </w:pPr>
      <w:r>
        <w:t xml:space="preserve">Georgia / serif — used for the logo wordmark and editorial headings to convey heritage.</w:t>
      </w:r>
    </w:p>
    <w:p>
      <w:pPr>
        <w:pStyle w:val="Heading2"/>
      </w:pPr>
      <w:r>
        <w:t xml:space="preserve">Usage Rules</w:t>
      </w:r>
    </w:p>
    <w:p>
      <w:pPr>
        <w:pStyle w:val="ListParagraph"/>
        <w:numPr>
          <w:ilvl w:val="0"/>
          <w:numId w:val="2"/>
        </w:numPr>
        <w:spacing w:after="60"/>
      </w:pPr>
      <w:r>
        <w:t xml:space="preserve">Two weights only: Regular (400) and Bold (500/700). Avoid heavy mid-weights.</w:t>
      </w:r>
    </w:p>
    <w:p>
      <w:pPr>
        <w:pStyle w:val="ListParagraph"/>
        <w:numPr>
          <w:ilvl w:val="0"/>
          <w:numId w:val="2"/>
        </w:numPr>
        <w:spacing w:after="60"/>
      </w:pPr>
      <w:r>
        <w:t xml:space="preserve">Sentence case for all UI labels and buttons (e.g., “Shop premium sarees”).</w:t>
      </w:r>
    </w:p>
    <w:p>
      <w:pPr>
        <w:pStyle w:val="ListParagraph"/>
        <w:numPr>
          <w:ilvl w:val="0"/>
          <w:numId w:val="2"/>
        </w:numPr>
        <w:spacing w:after="60"/>
      </w:pPr>
      <w:r>
        <w:t xml:space="preserve">Headings in serif for storytelling sections; sans-serif for functional UI.</w:t>
      </w:r>
    </w:p>
    <w:p>
      <w:pPr>
        <w:pStyle w:val="ListParagraph"/>
        <w:numPr>
          <w:ilvl w:val="0"/>
          <w:numId w:val="2"/>
        </w:numPr>
        <w:spacing w:after="60"/>
      </w:pPr>
      <w:r>
        <w:t xml:space="preserve">Maintain generous line-height (~1.7) for body copy.</w:t>
      </w:r>
    </w:p>
    <w:p>
      <w:pPr>
        <w:pStyle w:val="Heading1"/>
      </w:pPr>
      <w:r>
        <w:t xml:space="preserve">5. Logo Usage Rules</w:t>
      </w:r>
    </w:p>
    <w:p>
      <w:pPr>
        <w:pStyle w:val="Heading2"/>
      </w:pPr>
      <w:r>
        <w:t xml:space="preserve">The Mark</w:t>
      </w:r>
    </w:p>
    <w:p>
      <w:pPr>
        <w:spacing w:after="120"/>
      </w:pPr>
      <w:r>
        <w:t xml:space="preserve">The primary logo is the pink lotus symbol with the “Dyuthi Pattu Sarees” wordmark and the “Direct From Weavers” tagline. The lotus is the signature brand symbol and is reused as the active-navigation indicator and as a banner crown motif.</w:t>
      </w:r>
    </w:p>
    <w:p>
      <w:pPr>
        <w:pStyle w:val="Heading2"/>
      </w:pPr>
      <w:r>
        <w:t xml:space="preserve">Do</w:t>
      </w:r>
    </w:p>
    <w:p>
      <w:pPr>
        <w:pStyle w:val="ListParagraph"/>
        <w:numPr>
          <w:ilvl w:val="0"/>
          <w:numId w:val="2"/>
        </w:numPr>
        <w:spacing w:after="60"/>
      </w:pPr>
      <w:r>
        <w:t xml:space="preserve">Keep clear space around the logo equal to the height of the lotus mark.</w:t>
      </w:r>
    </w:p>
    <w:p>
      <w:pPr>
        <w:pStyle w:val="ListParagraph"/>
        <w:numPr>
          <w:ilvl w:val="0"/>
          <w:numId w:val="2"/>
        </w:numPr>
        <w:spacing w:after="60"/>
      </w:pPr>
      <w:r>
        <w:t xml:space="preserve">Place the logo on light/cream backgrounds for best contrast.</w:t>
      </w:r>
    </w:p>
    <w:p>
      <w:pPr>
        <w:pStyle w:val="ListParagraph"/>
        <w:numPr>
          <w:ilvl w:val="0"/>
          <w:numId w:val="2"/>
        </w:numPr>
        <w:spacing w:after="60"/>
      </w:pPr>
      <w:r>
        <w:t xml:space="preserve">Use the provided high-resolution file; scale proportionally only.</w:t>
      </w:r>
    </w:p>
    <w:p>
      <w:pPr>
        <w:pStyle w:val="ListParagraph"/>
        <w:numPr>
          <w:ilvl w:val="0"/>
          <w:numId w:val="2"/>
        </w:numPr>
        <w:spacing w:after="60"/>
      </w:pPr>
      <w:r>
        <w:t xml:space="preserve">Use the lotus alone as an icon/accent where the full lockup won’t fit.</w:t>
      </w:r>
    </w:p>
    <w:p>
      <w:pPr>
        <w:pStyle w:val="Heading2"/>
      </w:pPr>
      <w:r>
        <w:t xml:space="preserve">Don’t</w:t>
      </w:r>
    </w:p>
    <w:p>
      <w:pPr>
        <w:pStyle w:val="ListParagraph"/>
        <w:numPr>
          <w:ilvl w:val="0"/>
          <w:numId w:val="2"/>
        </w:numPr>
        <w:spacing w:after="60"/>
      </w:pPr>
      <w:r>
        <w:t xml:space="preserve">Don’t stretch, skew, rotate, or recolor the logo.</w:t>
      </w:r>
    </w:p>
    <w:p>
      <w:pPr>
        <w:pStyle w:val="ListParagraph"/>
        <w:numPr>
          <w:ilvl w:val="0"/>
          <w:numId w:val="2"/>
        </w:numPr>
        <w:spacing w:after="60"/>
      </w:pPr>
      <w:r>
        <w:t xml:space="preserve">Don’t place the logo on busy imagery without a solid/ivory backing.</w:t>
      </w:r>
    </w:p>
    <w:p>
      <w:pPr>
        <w:pStyle w:val="ListParagraph"/>
        <w:numPr>
          <w:ilvl w:val="0"/>
          <w:numId w:val="2"/>
        </w:numPr>
        <w:spacing w:after="60"/>
      </w:pPr>
      <w:r>
        <w:t xml:space="preserve">Don’t add drop shadows, outlines, or effects.</w:t>
      </w:r>
    </w:p>
    <w:p>
      <w:pPr>
        <w:pStyle w:val="ListParagraph"/>
        <w:numPr>
          <w:ilvl w:val="0"/>
          <w:numId w:val="2"/>
        </w:numPr>
        <w:spacing w:after="60"/>
      </w:pPr>
      <w:r>
        <w:t xml:space="preserve">Don’t recreate the wordmark in a different typeface.</w:t>
      </w:r>
    </w:p>
    <w:p>
      <w:pPr>
        <w:pStyle w:val="Heading1"/>
      </w:pPr>
      <w:r>
        <w:t xml:space="preserve">6. Image Style</w:t>
      </w:r>
    </w:p>
    <w:p>
      <w:pPr>
        <w:pStyle w:val="ListParagraph"/>
        <w:numPr>
          <w:ilvl w:val="0"/>
          <w:numId w:val="2"/>
        </w:numPr>
        <w:spacing w:after="60"/>
      </w:pPr>
      <w:r>
        <w:t xml:space="preserve">Rich, warm, heritage-led imagery — sarees as the hero of every frame.</w:t>
      </w:r>
    </w:p>
    <w:p>
      <w:pPr>
        <w:pStyle w:val="ListParagraph"/>
        <w:numPr>
          <w:ilvl w:val="0"/>
          <w:numId w:val="2"/>
        </w:numPr>
        <w:spacing w:after="60"/>
      </w:pPr>
      <w:r>
        <w:t xml:space="preserve">Prefer natural light, authentic settings (looms, artisans, traditional interiors).</w:t>
      </w:r>
    </w:p>
    <w:p>
      <w:pPr>
        <w:pStyle w:val="ListParagraph"/>
        <w:numPr>
          <w:ilvl w:val="0"/>
          <w:numId w:val="2"/>
        </w:numPr>
        <w:spacing w:after="60"/>
      </w:pPr>
      <w:r>
        <w:t xml:space="preserve">Decorative frames use hand-crafted gold/maroon motifs (lotus, scallop, mandala, zari).</w:t>
      </w:r>
    </w:p>
    <w:p>
      <w:pPr>
        <w:pStyle w:val="ListParagraph"/>
        <w:numPr>
          <w:ilvl w:val="0"/>
          <w:numId w:val="2"/>
        </w:numPr>
        <w:spacing w:after="60"/>
      </w:pPr>
      <w:r>
        <w:t xml:space="preserve">Category cards use a scalloped petal frame with a single deep-maroon outline and a subtle lotus-pink glow on hover.</w:t>
      </w:r>
    </w:p>
    <w:p>
      <w:pPr>
        <w:pStyle w:val="ListParagraph"/>
        <w:numPr>
          <w:ilvl w:val="0"/>
          <w:numId w:val="2"/>
        </w:numPr>
        <w:spacing w:after="60"/>
      </w:pPr>
      <w:r>
        <w:t xml:space="preserve">Keep backgrounds uncluttered; let texture and weave detail shine.</w:t>
      </w:r>
    </w:p>
    <w:p>
      <w:pPr>
        <w:pStyle w:val="Heading1"/>
      </w:pPr>
      <w:r>
        <w:t xml:space="preserve">7. Saree Photography Style</w:t>
      </w:r>
    </w:p>
    <w:p>
      <w:pPr>
        <w:pStyle w:val="ListParagraph"/>
        <w:numPr>
          <w:ilvl w:val="0"/>
          <w:numId w:val="2"/>
        </w:numPr>
        <w:spacing w:after="60"/>
      </w:pPr>
      <w:r>
        <w:t xml:space="preserve">Shoot the full saree so drape, border, pallu, and body are all visible.</w:t>
      </w:r>
    </w:p>
    <w:p>
      <w:pPr>
        <w:pStyle w:val="ListParagraph"/>
        <w:numPr>
          <w:ilvl w:val="0"/>
          <w:numId w:val="2"/>
        </w:numPr>
        <w:spacing w:after="60"/>
      </w:pPr>
      <w:r>
        <w:t xml:space="preserve">Use consistent portrait framing (approx. 4:5) for category and product thumbnails.</w:t>
      </w:r>
    </w:p>
    <w:p>
      <w:pPr>
        <w:pStyle w:val="ListParagraph"/>
        <w:numPr>
          <w:ilvl w:val="0"/>
          <w:numId w:val="2"/>
        </w:numPr>
        <w:spacing w:after="60"/>
      </w:pPr>
      <w:r>
        <w:t xml:space="preserve">Neutral or softly textured backdrops (ivory, cream, warm wood) — never distracting.</w:t>
      </w:r>
    </w:p>
    <w:p>
      <w:pPr>
        <w:pStyle w:val="ListParagraph"/>
        <w:numPr>
          <w:ilvl w:val="0"/>
          <w:numId w:val="2"/>
        </w:numPr>
        <w:spacing w:after="60"/>
      </w:pPr>
      <w:r>
        <w:t xml:space="preserve">Diffused natural light to render true colours and zari shimmer accurately.</w:t>
      </w:r>
    </w:p>
    <w:p>
      <w:pPr>
        <w:pStyle w:val="ListParagraph"/>
        <w:numPr>
          <w:ilvl w:val="0"/>
          <w:numId w:val="2"/>
        </w:numPr>
        <w:spacing w:after="60"/>
      </w:pPr>
      <w:r>
        <w:t xml:space="preserve">Include both flat-lay/draped detail shots and on-model shots for context.</w:t>
      </w:r>
    </w:p>
    <w:p>
      <w:pPr>
        <w:pStyle w:val="ListParagraph"/>
        <w:numPr>
          <w:ilvl w:val="0"/>
          <w:numId w:val="2"/>
        </w:numPr>
        <w:spacing w:after="60"/>
      </w:pPr>
      <w:r>
        <w:t xml:space="preserve">Capture close-ups of weave, border, and motifs to convey craftsmanship.</w:t>
      </w:r>
    </w:p>
    <w:p>
      <w:pPr>
        <w:pStyle w:val="ListParagraph"/>
        <w:numPr>
          <w:ilvl w:val="0"/>
          <w:numId w:val="2"/>
        </w:numPr>
        <w:spacing w:after="60"/>
      </w:pPr>
      <w:r>
        <w:t xml:space="preserve">Maintain accurate colour — avoid heavy filters that misrepresent the fabric.</w:t>
      </w:r>
    </w:p>
    <w:p>
      <w:pPr>
        <w:pStyle w:val="Heading1"/>
      </w:pPr>
      <w:r>
        <w:t xml:space="preserve">8. Instagram Branding</w:t>
      </w:r>
    </w:p>
    <w:p>
      <w:pPr>
        <w:pStyle w:val="Heading2"/>
      </w:pPr>
      <w:r>
        <w:t xml:space="preserve">Grid &amp; Aesthetic</w:t>
      </w:r>
    </w:p>
    <w:p>
      <w:pPr>
        <w:pStyle w:val="ListParagraph"/>
        <w:numPr>
          <w:ilvl w:val="0"/>
          <w:numId w:val="2"/>
        </w:numPr>
        <w:spacing w:after="60"/>
      </w:pPr>
      <w:r>
        <w:t xml:space="preserve">Cohesive warm palette: maroon, gold, cream — consistent with the website.</w:t>
      </w:r>
    </w:p>
    <w:p>
      <w:pPr>
        <w:pStyle w:val="ListParagraph"/>
        <w:numPr>
          <w:ilvl w:val="0"/>
          <w:numId w:val="2"/>
        </w:numPr>
        <w:spacing w:after="60"/>
      </w:pPr>
      <w:r>
        <w:t xml:space="preserve">Alternate full-saree shots, draped close-ups, and weaver/behind-the-scenes posts.</w:t>
      </w:r>
    </w:p>
    <w:p>
      <w:pPr>
        <w:pStyle w:val="ListParagraph"/>
        <w:numPr>
          <w:ilvl w:val="0"/>
          <w:numId w:val="2"/>
        </w:numPr>
        <w:spacing w:after="60"/>
      </w:pPr>
      <w:r>
        <w:t xml:space="preserve">Use the lotus mark and gold accents as recurring visual motifs.</w:t>
      </w:r>
    </w:p>
    <w:p>
      <w:pPr>
        <w:pStyle w:val="Heading2"/>
      </w:pPr>
      <w:r>
        <w:t xml:space="preserve">Content Pillars</w:t>
      </w:r>
    </w:p>
    <w:p>
      <w:pPr>
        <w:pStyle w:val="ListParagraph"/>
        <w:numPr>
          <w:ilvl w:val="0"/>
          <w:numId w:val="2"/>
        </w:numPr>
        <w:spacing w:after="60"/>
      </w:pPr>
      <w:r>
        <w:t xml:space="preserve">Product showcases (new arrivals, best sellers, on sale).</w:t>
      </w:r>
    </w:p>
    <w:p>
      <w:pPr>
        <w:pStyle w:val="ListParagraph"/>
        <w:numPr>
          <w:ilvl w:val="0"/>
          <w:numId w:val="2"/>
        </w:numPr>
        <w:spacing w:after="60"/>
      </w:pPr>
      <w:r>
        <w:t xml:space="preserve">Weaver stories &amp; craftsmanship (“Direct From Weavers”).</w:t>
      </w:r>
    </w:p>
    <w:p>
      <w:pPr>
        <w:pStyle w:val="ListParagraph"/>
        <w:numPr>
          <w:ilvl w:val="0"/>
          <w:numId w:val="2"/>
        </w:numPr>
        <w:spacing w:after="60"/>
      </w:pPr>
      <w:r>
        <w:t xml:space="preserve">Styling &amp; occasion inspiration (wedding, festival, daily elegance).</w:t>
      </w:r>
    </w:p>
    <w:p>
      <w:pPr>
        <w:pStyle w:val="ListParagraph"/>
        <w:numPr>
          <w:ilvl w:val="0"/>
          <w:numId w:val="2"/>
        </w:numPr>
        <w:spacing w:after="60"/>
      </w:pPr>
      <w:r>
        <w:t xml:space="preserve">Customer love / testimonials.</w:t>
      </w:r>
    </w:p>
    <w:p>
      <w:pPr>
        <w:pStyle w:val="Heading2"/>
      </w:pPr>
      <w:r>
        <w:t xml:space="preserve">Voice &amp; Hashtags</w:t>
      </w:r>
    </w:p>
    <w:p>
      <w:pPr>
        <w:pStyle w:val="ListParagraph"/>
        <w:numPr>
          <w:ilvl w:val="0"/>
          <w:numId w:val="2"/>
        </w:numPr>
        <w:spacing w:after="60"/>
      </w:pPr>
      <w:r>
        <w:t xml:space="preserve">Captions: warm, heritage-led storytelling; sentence case.</w:t>
      </w:r>
    </w:p>
    <w:p>
      <w:pPr>
        <w:pStyle w:val="ListParagraph"/>
        <w:numPr>
          <w:ilvl w:val="0"/>
          <w:numId w:val="2"/>
        </w:numPr>
        <w:spacing w:after="60"/>
      </w:pPr>
      <w:r>
        <w:t xml:space="preserve">Signature lines: “Direct From Weavers”, “A Legacy Woven in Silk”.</w:t>
      </w:r>
    </w:p>
    <w:p>
      <w:pPr>
        <w:pStyle w:val="ListParagraph"/>
        <w:numPr>
          <w:ilvl w:val="0"/>
          <w:numId w:val="2"/>
        </w:numPr>
        <w:spacing w:after="60"/>
      </w:pPr>
      <w:r>
        <w:t xml:space="preserve">Suggested tags: #DyuthiPattuSarees #DirectFromWeavers #HandloomSarees #PattuSarees #HandloomLove #SareeLove.</w:t>
      </w:r>
    </w:p>
    <w:p>
      <w:pPr>
        <w:pStyle w:val="Heading2"/>
      </w:pPr>
      <w:r>
        <w:t xml:space="preserve">Profile</w:t>
      </w:r>
    </w:p>
    <w:p>
      <w:pPr>
        <w:pStyle w:val="ListParagraph"/>
        <w:numPr>
          <w:ilvl w:val="0"/>
          <w:numId w:val="2"/>
        </w:numPr>
        <w:spacing w:after="60"/>
      </w:pPr>
      <w:r>
        <w:t xml:space="preserve">Use the lotus logo as the profile photo on a cream background.</w:t>
      </w:r>
    </w:p>
    <w:p>
      <w:pPr>
        <w:pStyle w:val="ListParagraph"/>
        <w:numPr>
          <w:ilvl w:val="0"/>
          <w:numId w:val="2"/>
        </w:numPr>
        <w:spacing w:after="60"/>
      </w:pPr>
      <w:r>
        <w:t xml:space="preserve">Bio: brand name + “Direct From Weavers · Handloom sarees · Telangana, India” + website link.</w:t>
      </w:r>
    </w:p>
    <w:p>
      <w:pPr>
        <w:pStyle w:val="ListParagraph"/>
        <w:numPr>
          <w:ilvl w:val="0"/>
          <w:numId w:val="2"/>
        </w:numPr>
        <w:spacing w:after="60"/>
      </w:pPr>
      <w:r>
        <w:t xml:space="preserve">Free shipping all over India — highlight in bio / story highlights.</w:t>
      </w:r>
    </w:p>
    <w:p>
      <w:pPr>
        <w:spacing w:before="400"/>
        <w:jc w:val="center"/>
      </w:pPr>
      <w:r>
        <w:rPr>
          <w:color w:val="999999"/>
          <w:sz w:val="18"/>
          <w:szCs w:val="18"/>
        </w:rPr>
        <w:t xml:space="preserve">— Dyuthi Pattu Sarees · Brand Guidelines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jc w:val="center"/>
    </w:pPr>
    <w:rPr>
      <w:rFonts w:ascii="Georgia" w:cs="Georgia" w:eastAsia="Georgia" w:hAnsi="Georgia"/>
      <w:b/>
      <w:bCs/>
      <w:color w:val="4E1E24"/>
      <w:sz w:val="52"/>
      <w:szCs w:val="52"/>
    </w:rPr>
  </w:style>
  <w:style w:type="paragraph" w:styleId="Heading1">
    <w:name w:val="Heading 1"/>
    <w:basedOn w:val="Normal"/>
    <w:next w:val="Normal"/>
    <w:qFormat/>
    <w:pPr>
      <w:pBdr>
        <w:bottom w:val="single" w:color="B8860B" w:sz="6" w:space="4"/>
      </w:pBdr>
      <w:spacing w:after="160" w:before="320"/>
      <w:outlineLvl w:val="0"/>
    </w:pPr>
    <w:rPr>
      <w:rFonts w:ascii="Georgia" w:cs="Georgia" w:eastAsia="Georgia" w:hAnsi="Georgia"/>
      <w:b/>
      <w:bCs/>
      <w:color w:val="C2185B"/>
      <w:sz w:val="30"/>
      <w:szCs w:val="30"/>
    </w:rPr>
  </w:style>
  <w:style w:type="paragraph" w:styleId="Heading2">
    <w:name w:val="Heading 2"/>
    <w:basedOn w:val="Normal"/>
    <w:next w:val="Normal"/>
    <w:qFormat/>
    <w:pPr>
      <w:spacing w:after="100" w:before="200"/>
      <w:outlineLvl w:val="1"/>
    </w:pPr>
    <w:rPr>
      <w:rFonts w:ascii="Georgia" w:cs="Georgia" w:eastAsia="Georgia" w:hAnsi="Georgia"/>
      <w:b/>
      <w:bCs/>
      <w:color w:val="4E1E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2fdf3a13d077f09f3d9b5e368dbfcf8e00865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2026-06-25T12:07:19.323Z</dcterms:created>
  <dcterms:modified xsi:type="dcterms:W3CDTF">2026-06-25T12:07:19.324Z</dcterms:modified>
</cp:coreProperties>
</file>

<file path=docProps/custom.xml><?xml version="1.0" encoding="utf-8"?>
<Properties xmlns="http://schemas.openxmlformats.org/officeDocument/2006/custom-properties" xmlns:vt="http://schemas.openxmlformats.org/officeDocument/2006/docPropsVTypes"/>
</file>