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9A7F05" w14:textId="77777777" w:rsidR="00122117" w:rsidRPr="003913F2" w:rsidRDefault="00000000" w:rsidP="003913F2">
      <w:pPr>
        <w:pStyle w:val="Title"/>
        <w:jc w:val="center"/>
        <w:rPr>
          <w:rFonts w:ascii="Calibri" w:hAnsi="Calibri" w:cs="Calibri"/>
          <w:bCs/>
          <w:sz w:val="32"/>
          <w:szCs w:val="32"/>
        </w:rPr>
      </w:pPr>
      <w:r w:rsidRPr="003913F2">
        <w:rPr>
          <w:rFonts w:ascii="Calibri" w:hAnsi="Calibri" w:cs="Calibri"/>
          <w:bCs/>
          <w:sz w:val="32"/>
          <w:szCs w:val="32"/>
        </w:rPr>
        <w:t>Gold Market Risk Analysis in R</w:t>
      </w:r>
    </w:p>
    <w:p w14:paraId="745B4AD9" w14:textId="77777777" w:rsidR="003913F2" w:rsidRPr="003913F2" w:rsidRDefault="003913F2" w:rsidP="003913F2">
      <w:pPr>
        <w:jc w:val="center"/>
        <w:rPr>
          <w:rFonts w:ascii="Calibri Light" w:hAnsi="Calibri Light" w:cs="Calibri Light"/>
          <w:b/>
          <w:bCs/>
          <w:sz w:val="22"/>
        </w:rPr>
      </w:pPr>
      <w:r w:rsidRPr="003913F2">
        <w:rPr>
          <w:rFonts w:ascii="Calibri Light" w:hAnsi="Calibri Light" w:cs="Calibri Light"/>
          <w:b/>
          <w:bCs/>
          <w:sz w:val="22"/>
        </w:rPr>
        <w:t xml:space="preserve">Returns, Tail Risk, Simulation, and GARCH </w:t>
      </w:r>
      <w:proofErr w:type="spellStart"/>
      <w:r w:rsidRPr="003913F2">
        <w:rPr>
          <w:rFonts w:ascii="Calibri Light" w:hAnsi="Calibri Light" w:cs="Calibri Light"/>
          <w:b/>
          <w:bCs/>
          <w:sz w:val="22"/>
        </w:rPr>
        <w:t>Volatility</w:t>
      </w:r>
    </w:p>
    <w:p w14:paraId="273FB459" w14:textId="416C573B" w:rsidR="00122117" w:rsidRPr="00A01903" w:rsidRDefault="00000000" w:rsidP="003913F2">
      <w:pPr>
        <w:jc w:val="center"/>
        <w:rPr>
          <w:rFonts w:ascii="Calibri Light" w:hAnsi="Calibri Light" w:cs="Calibri Light"/>
          <w:sz w:val="22"/>
        </w:rPr>
      </w:pPr>
      <w:proofErr w:type="spellEnd"/>
      <w:r w:rsidRPr="00A01903">
        <w:rPr>
          <w:rFonts w:ascii="Calibri Light" w:hAnsi="Calibri Light" w:cs="Calibri Light"/>
          <w:sz w:val="22"/>
        </w:rPr>
        <w:t>Zakariya Boutayeb | September 2026</w:t>
      </w:r>
    </w:p>
    <w:p w14:paraId="21CA668B" w14:textId="77777777" w:rsidR="003913F2" w:rsidRDefault="003913F2" w:rsidP="00A01903">
      <w:pPr>
        <w:pStyle w:val="Heading1"/>
        <w:jc w:val="both"/>
        <w:rPr>
          <w:rFonts w:ascii="Calibri" w:hAnsi="Calibri" w:cs="Calibri"/>
          <w:sz w:val="28"/>
        </w:rPr>
      </w:pPr>
    </w:p>
    <w:p w14:paraId="51F683FC" w14:textId="388D5A35" w:rsidR="00122117" w:rsidRPr="003913F2" w:rsidRDefault="00000000" w:rsidP="00A01903">
      <w:pPr>
        <w:pStyle w:val="Heading1"/>
        <w:jc w:val="both"/>
        <w:rPr>
          <w:rFonts w:ascii="Calibri" w:hAnsi="Calibri" w:cs="Calibri"/>
          <w:sz w:val="24"/>
          <w:szCs w:val="24"/>
        </w:rPr>
      </w:pPr>
      <w:r w:rsidRPr="003913F2">
        <w:rPr>
          <w:rFonts w:ascii="Calibri" w:hAnsi="Calibri" w:cs="Calibri"/>
          <w:sz w:val="24"/>
          <w:szCs w:val="24"/>
        </w:rPr>
        <w:t>1. Project overview</w:t>
      </w:r>
    </w:p>
    <w:p w14:paraId="2FD341FD" w14:textId="77777777" w:rsidR="003913F2" w:rsidRPr="003913F2" w:rsidRDefault="003913F2" w:rsidP="003913F2"/>
    <w:p w14:paraId="7932499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This project studies the market risk of gold using R. It retrieves daily gold futures prices, calculates returns at several horizons, examines the return distribution, estimates Value at Risk (VaR) and Expected Shortfall (ES), and models changing volatility with a GARCH(1,1) model.</w:t>
      </w:r>
    </w:p>
    <w:p w14:paraId="193E070A" w14:textId="5112C015" w:rsidR="00122117" w:rsidRPr="00A01903" w:rsidRDefault="003913F2" w:rsidP="003913F2">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Asset: COMEX gold futures, Yahoo Finance symbol GC=F.</w:t>
      </w:r>
    </w:p>
    <w:p w14:paraId="7BA0D4BC" w14:textId="130FA46D" w:rsidR="00122117" w:rsidRPr="00A01903" w:rsidRDefault="003913F2" w:rsidP="003913F2">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Requested sample: 31 December 2006 to 31 December 2023.</w:t>
      </w:r>
    </w:p>
    <w:p w14:paraId="640E22C9" w14:textId="663B84C2" w:rsidR="00122117" w:rsidRPr="00A01903" w:rsidRDefault="003913F2" w:rsidP="003913F2">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Observed sample: 4,275 daily log returns after cleaning and the required removal of the computed</w:t>
      </w:r>
      <w:r>
        <w:rPr>
          <w:rFonts w:ascii="Calibri Light" w:hAnsi="Calibri Light" w:cs="Calibri Light"/>
          <w:sz w:val="22"/>
        </w:rPr>
        <w:t xml:space="preserve"> first </w:t>
      </w:r>
      <w:r w:rsidR="00000000" w:rsidRPr="00A01903">
        <w:rPr>
          <w:rFonts w:ascii="Calibri Light" w:hAnsi="Calibri Light" w:cs="Calibri Light"/>
          <w:sz w:val="22"/>
        </w:rPr>
        <w:t>return.</w:t>
      </w:r>
    </w:p>
    <w:p w14:paraId="0D5967D8" w14:textId="5872EDFF" w:rsidR="00122117" w:rsidRPr="00A01903" w:rsidRDefault="003913F2" w:rsidP="003913F2">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 xml:space="preserve">Software: R with </w:t>
      </w:r>
      <w:proofErr w:type="spellStart"/>
      <w:r w:rsidR="00000000" w:rsidRPr="00A01903">
        <w:rPr>
          <w:rFonts w:ascii="Calibri Light" w:hAnsi="Calibri Light" w:cs="Calibri Light"/>
          <w:sz w:val="22"/>
        </w:rPr>
        <w:t>quantmod</w:t>
      </w:r>
      <w:proofErr w:type="spellEnd"/>
      <w:r w:rsidR="00000000" w:rsidRPr="00A01903">
        <w:rPr>
          <w:rFonts w:ascii="Calibri Light" w:hAnsi="Calibri Light" w:cs="Calibri Light"/>
          <w:sz w:val="22"/>
        </w:rPr>
        <w:t xml:space="preserve">, </w:t>
      </w:r>
      <w:proofErr w:type="spellStart"/>
      <w:r w:rsidR="00000000" w:rsidRPr="00A01903">
        <w:rPr>
          <w:rFonts w:ascii="Calibri Light" w:hAnsi="Calibri Light" w:cs="Calibri Light"/>
          <w:sz w:val="22"/>
        </w:rPr>
        <w:t>xts</w:t>
      </w:r>
      <w:proofErr w:type="spellEnd"/>
      <w:r w:rsidR="00000000" w:rsidRPr="00A01903">
        <w:rPr>
          <w:rFonts w:ascii="Calibri Light" w:hAnsi="Calibri Light" w:cs="Calibri Light"/>
          <w:sz w:val="22"/>
        </w:rPr>
        <w:t>, MASS, and rugarch.</w:t>
      </w:r>
    </w:p>
    <w:p w14:paraId="39F16F62" w14:textId="77777777" w:rsidR="00122117" w:rsidRPr="003913F2" w:rsidRDefault="00000000" w:rsidP="00A01903">
      <w:pPr>
        <w:pStyle w:val="Heading1"/>
        <w:jc w:val="both"/>
        <w:rPr>
          <w:rFonts w:ascii="Calibri" w:hAnsi="Calibri" w:cs="Calibri"/>
          <w:sz w:val="24"/>
          <w:szCs w:val="24"/>
        </w:rPr>
      </w:pPr>
      <w:r w:rsidRPr="003913F2">
        <w:rPr>
          <w:rFonts w:ascii="Calibri" w:hAnsi="Calibri" w:cs="Calibri"/>
          <w:sz w:val="24"/>
          <w:szCs w:val="24"/>
        </w:rPr>
        <w:t>2. Returns and calendar aggregation</w:t>
      </w:r>
    </w:p>
    <w:p w14:paraId="02A49837" w14:textId="77777777" w:rsidR="003913F2" w:rsidRPr="003913F2" w:rsidRDefault="003913F2" w:rsidP="003913F2"/>
    <w:p w14:paraId="7E4AD8FE" w14:textId="42287624" w:rsidR="00122117" w:rsidRPr="00A01903" w:rsidRDefault="00000000" w:rsidP="003913F2">
      <w:pPr>
        <w:jc w:val="both"/>
        <w:rPr>
          <w:rFonts w:ascii="Calibri Light" w:hAnsi="Calibri Light" w:cs="Calibri Light"/>
          <w:sz w:val="22"/>
        </w:rPr>
      </w:pPr>
      <w:r w:rsidRPr="00A01903">
        <w:rPr>
          <w:rFonts w:ascii="Calibri Light" w:hAnsi="Calibri Light" w:cs="Calibri Light"/>
          <w:sz w:val="22"/>
        </w:rPr>
        <w:t xml:space="preserve">A discrete return measures the percentage change in price. </w:t>
      </w:r>
    </w:p>
    <w:p w14:paraId="187372AD" w14:textId="77777777" w:rsidR="00122117" w:rsidRDefault="00000000" w:rsidP="003913F2">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7A89D019" wp14:editId="602A3C02">
            <wp:extent cx="1753435" cy="424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_return.png"/>
                    <pic:cNvPicPr/>
                  </pic:nvPicPr>
                  <pic:blipFill>
                    <a:blip r:embed="rId8"/>
                    <a:stretch>
                      <a:fillRect/>
                    </a:stretch>
                  </pic:blipFill>
                  <pic:spPr>
                    <a:xfrm>
                      <a:off x="0" y="0"/>
                      <a:ext cx="1899802" cy="460276"/>
                    </a:xfrm>
                    <a:prstGeom prst="rect">
                      <a:avLst/>
                    </a:prstGeom>
                  </pic:spPr>
                </pic:pic>
              </a:graphicData>
            </a:graphic>
          </wp:inline>
        </w:drawing>
      </w:r>
    </w:p>
    <w:p w14:paraId="02430566" w14:textId="17F54CBB" w:rsidR="003913F2" w:rsidRPr="00A01903" w:rsidRDefault="003913F2" w:rsidP="003913F2">
      <w:pPr>
        <w:jc w:val="both"/>
        <w:rPr>
          <w:rFonts w:ascii="Calibri Light" w:hAnsi="Calibri Light" w:cs="Calibri Light"/>
          <w:sz w:val="22"/>
        </w:rPr>
      </w:pPr>
      <w:r w:rsidRPr="00A01903">
        <w:rPr>
          <w:rFonts w:ascii="Calibri Light" w:hAnsi="Calibri Light" w:cs="Calibri Light"/>
          <w:sz w:val="22"/>
        </w:rPr>
        <w:t>A log return measures the logarithmic price change and is additive across time.</w:t>
      </w:r>
    </w:p>
    <w:p w14:paraId="200307A1" w14:textId="77777777" w:rsidR="00122117" w:rsidRPr="00A01903" w:rsidRDefault="00000000" w:rsidP="003913F2">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12E962A5" wp14:editId="66F0749C">
            <wp:extent cx="1468956" cy="588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return.png"/>
                    <pic:cNvPicPr/>
                  </pic:nvPicPr>
                  <pic:blipFill>
                    <a:blip r:embed="rId9"/>
                    <a:stretch>
                      <a:fillRect/>
                    </a:stretch>
                  </pic:blipFill>
                  <pic:spPr>
                    <a:xfrm>
                      <a:off x="0" y="0"/>
                      <a:ext cx="1560037" cy="625143"/>
                    </a:xfrm>
                    <a:prstGeom prst="rect">
                      <a:avLst/>
                    </a:prstGeom>
                  </pic:spPr>
                </pic:pic>
              </a:graphicData>
            </a:graphic>
          </wp:inline>
        </w:drawing>
      </w:r>
    </w:p>
    <w:p w14:paraId="52DBDD39" w14:textId="77777777" w:rsidR="003913F2" w:rsidRDefault="003913F2" w:rsidP="00A01903">
      <w:pPr>
        <w:jc w:val="both"/>
        <w:rPr>
          <w:rFonts w:ascii="Calibri Light" w:hAnsi="Calibri Light" w:cs="Calibri Light"/>
          <w:sz w:val="22"/>
        </w:rPr>
      </w:pPr>
    </w:p>
    <w:p w14:paraId="2F48687B" w14:textId="0AEA200A" w:rsidR="00122117" w:rsidRDefault="00000000" w:rsidP="00A01903">
      <w:pPr>
        <w:jc w:val="both"/>
        <w:rPr>
          <w:rFonts w:ascii="Calibri Light" w:hAnsi="Calibri Light" w:cs="Calibri Light"/>
          <w:sz w:val="22"/>
        </w:rPr>
      </w:pPr>
      <w:r w:rsidRPr="00A01903">
        <w:rPr>
          <w:rFonts w:ascii="Calibri Light" w:hAnsi="Calibri Light" w:cs="Calibri Light"/>
          <w:sz w:val="22"/>
        </w:rPr>
        <w:t>For monthly, quarterly, and yearly periods, daily log returns are summed. A period discrete return is then obtained by exponentiating the summed log return and subtracting one.</w:t>
      </w:r>
    </w:p>
    <w:p w14:paraId="0048FBA2" w14:textId="77777777" w:rsidR="003913F2" w:rsidRPr="00A01903" w:rsidRDefault="003913F2" w:rsidP="00A01903">
      <w:pPr>
        <w:jc w:val="both"/>
        <w:rPr>
          <w:rFonts w:ascii="Calibri Light" w:hAnsi="Calibri Light" w:cs="Calibri Light"/>
          <w:sz w:val="22"/>
        </w:rPr>
      </w:pPr>
    </w:p>
    <w:tbl>
      <w:tblPr>
        <w:tblW w:w="0" w:type="auto"/>
        <w:jc w:val="center"/>
        <w:tblLayout w:type="fixed"/>
        <w:tblLook w:val="04A0" w:firstRow="1" w:lastRow="0" w:firstColumn="1" w:lastColumn="0" w:noHBand="0" w:noVBand="1"/>
      </w:tblPr>
      <w:tblGrid>
        <w:gridCol w:w="4608"/>
        <w:gridCol w:w="2448"/>
        <w:gridCol w:w="1872"/>
      </w:tblGrid>
      <w:tr w:rsidR="00122117" w:rsidRPr="00A01903" w14:paraId="24CA0F37" w14:textId="77777777">
        <w:trPr>
          <w:jc w:val="center"/>
        </w:trPr>
        <w:tc>
          <w:tcPr>
            <w:tcW w:w="460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07DD0AF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Measure</w:t>
            </w:r>
          </w:p>
        </w:tc>
        <w:tc>
          <w:tcPr>
            <w:tcW w:w="244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45FAFFEC"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Date</w:t>
            </w:r>
          </w:p>
        </w:tc>
        <w:tc>
          <w:tcPr>
            <w:tcW w:w="1872"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4938D82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Return</w:t>
            </w:r>
          </w:p>
        </w:tc>
      </w:tr>
      <w:tr w:rsidR="00122117" w:rsidRPr="00A01903" w14:paraId="3DA3E617" w14:textId="77777777">
        <w:trPr>
          <w:jc w:val="center"/>
        </w:trPr>
        <w:tc>
          <w:tcPr>
            <w:tcW w:w="460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76B674CA"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First daily log return</w:t>
            </w:r>
          </w:p>
        </w:tc>
        <w:tc>
          <w:tcPr>
            <w:tcW w:w="244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50AB51F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2007-01-03</w:t>
            </w:r>
          </w:p>
        </w:tc>
        <w:tc>
          <w:tcPr>
            <w:tcW w:w="1872"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5774F9E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-0.012834</w:t>
            </w:r>
          </w:p>
        </w:tc>
      </w:tr>
      <w:tr w:rsidR="00122117" w:rsidRPr="00A01903" w14:paraId="42BFC73D" w14:textId="77777777">
        <w:trPr>
          <w:jc w:val="center"/>
        </w:trPr>
        <w:tc>
          <w:tcPr>
            <w:tcW w:w="460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3BECBA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First monthly discrete return</w:t>
            </w:r>
          </w:p>
        </w:tc>
        <w:tc>
          <w:tcPr>
            <w:tcW w:w="244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997DAE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2007-01-31</w:t>
            </w:r>
          </w:p>
        </w:tc>
        <w:tc>
          <w:tcPr>
            <w:tcW w:w="1872"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31B6895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0.026448</w:t>
            </w:r>
          </w:p>
        </w:tc>
      </w:tr>
      <w:tr w:rsidR="00122117" w:rsidRPr="00A01903" w14:paraId="570C766D" w14:textId="77777777">
        <w:trPr>
          <w:jc w:val="center"/>
        </w:trPr>
        <w:tc>
          <w:tcPr>
            <w:tcW w:w="460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524B59E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Last quarterly log return</w:t>
            </w:r>
          </w:p>
        </w:tc>
        <w:tc>
          <w:tcPr>
            <w:tcW w:w="244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FC5F972"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2023-12-29</w:t>
            </w:r>
          </w:p>
        </w:tc>
        <w:tc>
          <w:tcPr>
            <w:tcW w:w="1872"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58FF592A"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0.109712</w:t>
            </w:r>
          </w:p>
        </w:tc>
      </w:tr>
      <w:tr w:rsidR="00122117" w:rsidRPr="00A01903" w14:paraId="197AD308" w14:textId="77777777">
        <w:trPr>
          <w:jc w:val="center"/>
        </w:trPr>
        <w:tc>
          <w:tcPr>
            <w:tcW w:w="460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1428091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Last yearly discrete return</w:t>
            </w:r>
          </w:p>
        </w:tc>
        <w:tc>
          <w:tcPr>
            <w:tcW w:w="244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EF19ADC"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2023-12-29</w:t>
            </w:r>
          </w:p>
        </w:tc>
        <w:tc>
          <w:tcPr>
            <w:tcW w:w="1872"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75CECC2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0.133374</w:t>
            </w:r>
          </w:p>
        </w:tc>
      </w:tr>
    </w:tbl>
    <w:p w14:paraId="17FE8BBD" w14:textId="77777777" w:rsidR="00122117" w:rsidRPr="00A01903" w:rsidRDefault="00122117" w:rsidP="00A01903">
      <w:pPr>
        <w:jc w:val="both"/>
        <w:rPr>
          <w:rFonts w:ascii="Calibri Light" w:hAnsi="Calibri Light" w:cs="Calibri Light"/>
          <w:sz w:val="22"/>
        </w:rPr>
      </w:pPr>
    </w:p>
    <w:p w14:paraId="4FAF03A1" w14:textId="77777777" w:rsidR="003913F2" w:rsidRDefault="003913F2" w:rsidP="00A01903">
      <w:pPr>
        <w:pStyle w:val="Heading1"/>
        <w:jc w:val="both"/>
        <w:rPr>
          <w:rFonts w:ascii="Calibri Light" w:hAnsi="Calibri Light" w:cs="Calibri Light"/>
          <w:b w:val="0"/>
          <w:bCs w:val="0"/>
          <w:sz w:val="22"/>
          <w:szCs w:val="22"/>
        </w:rPr>
      </w:pPr>
    </w:p>
    <w:p w14:paraId="1B437D1F" w14:textId="09279C97" w:rsidR="00122117" w:rsidRPr="003913F2" w:rsidRDefault="00000000" w:rsidP="00A01903">
      <w:pPr>
        <w:pStyle w:val="Heading1"/>
        <w:jc w:val="both"/>
        <w:rPr>
          <w:rFonts w:ascii="Calibri" w:hAnsi="Calibri" w:cs="Calibri"/>
          <w:sz w:val="24"/>
          <w:szCs w:val="24"/>
        </w:rPr>
      </w:pPr>
      <w:r w:rsidRPr="003913F2">
        <w:rPr>
          <w:rFonts w:ascii="Calibri" w:hAnsi="Calibri" w:cs="Calibri"/>
          <w:sz w:val="24"/>
          <w:szCs w:val="24"/>
        </w:rPr>
        <w:t xml:space="preserve">3. One-day </w:t>
      </w:r>
      <w:proofErr w:type="spellStart"/>
      <w:r w:rsidRPr="003913F2">
        <w:rPr>
          <w:rFonts w:ascii="Calibri" w:hAnsi="Calibri" w:cs="Calibri"/>
          <w:sz w:val="24"/>
          <w:szCs w:val="24"/>
        </w:rPr>
        <w:t>VaR</w:t>
      </w:r>
      <w:proofErr w:type="spellEnd"/>
      <w:r w:rsidRPr="003913F2">
        <w:rPr>
          <w:rFonts w:ascii="Calibri" w:hAnsi="Calibri" w:cs="Calibri"/>
          <w:sz w:val="24"/>
          <w:szCs w:val="24"/>
        </w:rPr>
        <w:t xml:space="preserve"> and Expected Shortfall</w:t>
      </w:r>
    </w:p>
    <w:p w14:paraId="569C4616" w14:textId="77777777" w:rsidR="003913F2" w:rsidRPr="003913F2" w:rsidRDefault="003913F2" w:rsidP="003913F2"/>
    <w:p w14:paraId="30A298D0" w14:textId="77777777" w:rsidR="003913F2" w:rsidRDefault="00000000" w:rsidP="00A01903">
      <w:pPr>
        <w:jc w:val="both"/>
        <w:rPr>
          <w:rFonts w:ascii="Calibri Light" w:hAnsi="Calibri Light" w:cs="Calibri Light"/>
          <w:sz w:val="22"/>
        </w:rPr>
      </w:pPr>
      <w:r w:rsidRPr="00A01903">
        <w:rPr>
          <w:rFonts w:ascii="Calibri Light" w:hAnsi="Calibri Light" w:cs="Calibri Light"/>
          <w:sz w:val="22"/>
        </w:rPr>
        <w:t xml:space="preserve">VaR is the loss threshold associated with a chosen lower-tail probability. </w:t>
      </w:r>
    </w:p>
    <w:p w14:paraId="0723CF3A" w14:textId="5EAD1244"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At 99% confidence, alpha = 0.01. ES is the average return conditional on being below the VaR threshold, so it describes the severity of the worst 1% of outcomes.</w:t>
      </w:r>
    </w:p>
    <w:p w14:paraId="03D1AA0F" w14:textId="77777777" w:rsidR="00122117" w:rsidRPr="00A01903" w:rsidRDefault="00000000" w:rsidP="003913F2">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4E83571D" wp14:editId="517DA30B">
            <wp:extent cx="3752215" cy="369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es.png"/>
                    <pic:cNvPicPr/>
                  </pic:nvPicPr>
                  <pic:blipFill>
                    <a:blip r:embed="rId10"/>
                    <a:stretch>
                      <a:fillRect/>
                    </a:stretch>
                  </pic:blipFill>
                  <pic:spPr>
                    <a:xfrm>
                      <a:off x="0" y="0"/>
                      <a:ext cx="3812688" cy="375185"/>
                    </a:xfrm>
                    <a:prstGeom prst="rect">
                      <a:avLst/>
                    </a:prstGeom>
                  </pic:spPr>
                </pic:pic>
              </a:graphicData>
            </a:graphic>
          </wp:inline>
        </w:drawing>
      </w:r>
    </w:p>
    <w:p w14:paraId="1D75A797" w14:textId="77777777" w:rsidR="00122117" w:rsidRPr="00A01903" w:rsidRDefault="00000000" w:rsidP="003913F2">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0590717D" wp14:editId="450B5447">
            <wp:extent cx="3956050" cy="481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risk.png"/>
                    <pic:cNvPicPr/>
                  </pic:nvPicPr>
                  <pic:blipFill>
                    <a:blip r:embed="rId11"/>
                    <a:stretch>
                      <a:fillRect/>
                    </a:stretch>
                  </pic:blipFill>
                  <pic:spPr>
                    <a:xfrm>
                      <a:off x="0" y="0"/>
                      <a:ext cx="4040287" cy="491907"/>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6768"/>
        <w:gridCol w:w="2304"/>
      </w:tblGrid>
      <w:tr w:rsidR="00122117" w:rsidRPr="00A01903" w14:paraId="4F1A2823"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45AB10CA"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Estimate</w:t>
            </w:r>
          </w:p>
        </w:tc>
        <w:tc>
          <w:tcPr>
            <w:tcW w:w="2304"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4EAFF36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Return</w:t>
            </w:r>
          </w:p>
        </w:tc>
      </w:tr>
      <w:tr w:rsidR="00122117" w:rsidRPr="00A01903" w14:paraId="7605A7E5"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39829F81"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Mean daily log return</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632DFB11"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0.000275</w:t>
            </w:r>
          </w:p>
        </w:tc>
      </w:tr>
      <w:tr w:rsidR="00122117" w:rsidRPr="00A01903" w14:paraId="421F37C7"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206EB89"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Daily standard deviation</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6E86BD7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0.011126</w:t>
            </w:r>
          </w:p>
        </w:tc>
      </w:tr>
      <w:tr w:rsidR="00122117" w:rsidRPr="00A01903" w14:paraId="7EF2FC8E"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42AB93F3"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Normal 99% VaR</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4B57B621"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-0.025607</w:t>
            </w:r>
          </w:p>
        </w:tc>
      </w:tr>
      <w:tr w:rsidR="00122117" w:rsidRPr="00A01903" w14:paraId="79DBBF6E"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4ACFDB5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Normal 99% ES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231F10F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-0.029377</w:t>
            </w:r>
          </w:p>
        </w:tc>
      </w:tr>
      <w:tr w:rsidR="00122117" w:rsidRPr="00A01903" w14:paraId="0CF2A483"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7E4BD30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Simulated-normal 99% VaR</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3DEB74F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-0.025903</w:t>
            </w:r>
          </w:p>
        </w:tc>
      </w:tr>
      <w:tr w:rsidR="00122117" w:rsidRPr="00A01903" w14:paraId="133F379E"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39DF05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Simulated-normal 99% ES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6D19D64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-0.029754</w:t>
            </w:r>
          </w:p>
        </w:tc>
      </w:tr>
      <w:tr w:rsidR="00122117" w:rsidRPr="00A01903" w14:paraId="67028FAA"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7B457499"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Empirical-bootstrap 99% VaR</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3297075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-0.030927</w:t>
            </w:r>
          </w:p>
        </w:tc>
      </w:tr>
      <w:tr w:rsidR="00122117" w:rsidRPr="00A01903" w14:paraId="121CC282"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684E69E3"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Empirical-bootstrap 99% ES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2341105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-0.042093</w:t>
            </w:r>
          </w:p>
        </w:tc>
      </w:tr>
    </w:tbl>
    <w:p w14:paraId="745EB417" w14:textId="77777777" w:rsidR="00122117" w:rsidRPr="00A01903" w:rsidRDefault="00122117" w:rsidP="00A01903">
      <w:pPr>
        <w:jc w:val="both"/>
        <w:rPr>
          <w:rFonts w:ascii="Calibri Light" w:hAnsi="Calibri Light" w:cs="Calibri Light"/>
          <w:sz w:val="22"/>
        </w:rPr>
      </w:pPr>
    </w:p>
    <w:p w14:paraId="702FBF6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The empirical ES is substantially more negative than the normal ES. This shows that the normal model understates the observed downside tail. For a $1 billion position, the most conservative of these one-day ES estimates is approximately -$42,093,480.</w:t>
      </w:r>
    </w:p>
    <w:p w14:paraId="72CEC594" w14:textId="77777777" w:rsidR="00122117" w:rsidRPr="003913F2" w:rsidRDefault="00000000" w:rsidP="00A01903">
      <w:pPr>
        <w:pStyle w:val="Heading1"/>
        <w:jc w:val="both"/>
        <w:rPr>
          <w:rFonts w:ascii="Calibri" w:hAnsi="Calibri" w:cs="Calibri"/>
          <w:sz w:val="24"/>
          <w:szCs w:val="24"/>
        </w:rPr>
      </w:pPr>
      <w:r w:rsidRPr="003913F2">
        <w:rPr>
          <w:rFonts w:ascii="Calibri" w:hAnsi="Calibri" w:cs="Calibri"/>
          <w:sz w:val="24"/>
          <w:szCs w:val="24"/>
        </w:rPr>
        <w:t>4. Distribution diagnostics and Student-t risk</w:t>
      </w:r>
    </w:p>
    <w:p w14:paraId="718151AF" w14:textId="77777777" w:rsidR="003913F2" w:rsidRPr="003913F2" w:rsidRDefault="003913F2" w:rsidP="003913F2"/>
    <w:p w14:paraId="017EC604" w14:textId="77777777" w:rsidR="00122117" w:rsidRDefault="00000000" w:rsidP="00A01903">
      <w:pPr>
        <w:jc w:val="both"/>
        <w:rPr>
          <w:rFonts w:ascii="Calibri Light" w:hAnsi="Calibri Light" w:cs="Calibri Light"/>
          <w:sz w:val="22"/>
        </w:rPr>
      </w:pPr>
      <w:r w:rsidRPr="00A01903">
        <w:rPr>
          <w:rFonts w:ascii="Calibri Light" w:hAnsi="Calibri Light" w:cs="Calibri Light"/>
          <w:sz w:val="22"/>
        </w:rPr>
        <w:t>Skewness measures asymmetry and kurtosis measures tail weight. Gold returns are slightly negatively skewed and strongly leptokurtic. The Jarque–Bera statistic is therefore very large, rejecting a normal return distribution.</w:t>
      </w:r>
    </w:p>
    <w:p w14:paraId="25F04F87" w14:textId="77777777" w:rsidR="007C0D0C" w:rsidRPr="00A01903" w:rsidRDefault="007C0D0C" w:rsidP="00A01903">
      <w:pPr>
        <w:jc w:val="both"/>
        <w:rPr>
          <w:rFonts w:ascii="Calibri Light" w:hAnsi="Calibri Light" w:cs="Calibri Light"/>
          <w:sz w:val="22"/>
        </w:rPr>
      </w:pPr>
    </w:p>
    <w:tbl>
      <w:tblPr>
        <w:tblW w:w="0" w:type="auto"/>
        <w:jc w:val="center"/>
        <w:tblLayout w:type="fixed"/>
        <w:tblLook w:val="04A0" w:firstRow="1" w:lastRow="0" w:firstColumn="1" w:lastColumn="0" w:noHBand="0" w:noVBand="1"/>
      </w:tblPr>
      <w:tblGrid>
        <w:gridCol w:w="6768"/>
        <w:gridCol w:w="2304"/>
      </w:tblGrid>
      <w:tr w:rsidR="00122117" w:rsidRPr="00A01903" w14:paraId="0D8C9EF0"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777F35AE"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Diagnostic or parameter</w:t>
            </w:r>
          </w:p>
        </w:tc>
        <w:tc>
          <w:tcPr>
            <w:tcW w:w="2304"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663B572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Estimate</w:t>
            </w:r>
          </w:p>
        </w:tc>
      </w:tr>
      <w:tr w:rsidR="00122117" w:rsidRPr="00A01903" w14:paraId="19223F1E"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66BA1023"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Skewness</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0B09FC5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-0.244569</w:t>
            </w:r>
          </w:p>
        </w:tc>
      </w:tr>
      <w:tr w:rsidR="00122117" w:rsidRPr="00A01903" w14:paraId="1E9A660B"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1DC2D80"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Kurtosis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06CA6BE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8.708181</w:t>
            </w:r>
          </w:p>
        </w:tc>
      </w:tr>
      <w:tr w:rsidR="00122117" w:rsidRPr="00A01903" w14:paraId="3DAE66C1"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44987C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Jarque–Bera statistic</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33EA46E4"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5846.523263</w:t>
            </w:r>
          </w:p>
        </w:tc>
      </w:tr>
      <w:tr w:rsidR="00122117" w:rsidRPr="00A01903" w14:paraId="4EB640B3"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66A8D05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Student-t location (m)</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754E0F84"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0.000451</w:t>
            </w:r>
          </w:p>
        </w:tc>
      </w:tr>
      <w:tr w:rsidR="00122117" w:rsidRPr="00A01903" w14:paraId="42413C47"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40DCF5B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Student-t scale (s)</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77CB030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0.008747</w:t>
            </w:r>
          </w:p>
        </w:tc>
      </w:tr>
      <w:tr w:rsidR="00122117" w:rsidRPr="00A01903" w14:paraId="52238761"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BB243F0"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Student-t degrees of freedom</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60E5275A"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7.457972</w:t>
            </w:r>
          </w:p>
        </w:tc>
      </w:tr>
    </w:tbl>
    <w:p w14:paraId="380D6C5B" w14:textId="77777777" w:rsidR="00122117" w:rsidRPr="00A01903" w:rsidRDefault="00122117" w:rsidP="00A01903">
      <w:pPr>
        <w:jc w:val="both"/>
        <w:rPr>
          <w:rFonts w:ascii="Calibri Light" w:hAnsi="Calibri Light" w:cs="Calibri Light"/>
          <w:sz w:val="22"/>
        </w:rPr>
      </w:pPr>
    </w:p>
    <w:p w14:paraId="7602A9E9" w14:textId="77777777" w:rsidR="00122117" w:rsidRPr="00A01903" w:rsidRDefault="00000000" w:rsidP="0045305E">
      <w:pPr>
        <w:jc w:val="center"/>
        <w:rPr>
          <w:rFonts w:ascii="Calibri Light" w:hAnsi="Calibri Light" w:cs="Calibri Light"/>
          <w:sz w:val="22"/>
        </w:rPr>
      </w:pPr>
      <w:r w:rsidRPr="00A01903">
        <w:rPr>
          <w:rFonts w:ascii="Calibri Light" w:hAnsi="Calibri Light" w:cs="Calibri Light"/>
          <w:noProof/>
          <w:sz w:val="22"/>
        </w:rPr>
        <w:lastRenderedPageBreak/>
        <w:drawing>
          <wp:inline distT="0" distB="0" distL="0" distR="0" wp14:anchorId="6EE93A79" wp14:editId="1A53EE81">
            <wp:extent cx="3016885" cy="565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t.png"/>
                    <pic:cNvPicPr/>
                  </pic:nvPicPr>
                  <pic:blipFill>
                    <a:blip r:embed="rId12"/>
                    <a:stretch>
                      <a:fillRect/>
                    </a:stretch>
                  </pic:blipFill>
                  <pic:spPr>
                    <a:xfrm>
                      <a:off x="0" y="0"/>
                      <a:ext cx="3056484" cy="57284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6768"/>
        <w:gridCol w:w="2304"/>
      </w:tblGrid>
      <w:tr w:rsidR="00122117" w:rsidRPr="00A01903" w14:paraId="5EA1DF8A"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5F3D3B1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Risk estimate</w:t>
            </w:r>
          </w:p>
        </w:tc>
        <w:tc>
          <w:tcPr>
            <w:tcW w:w="2304"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4B10CD54"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ES</w:t>
            </w:r>
          </w:p>
        </w:tc>
      </w:tr>
      <w:tr w:rsidR="00122117" w:rsidRPr="00A01903" w14:paraId="1799D7D2"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03098AA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Fitted Student-t, one day, 99%</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019C4A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-0.031570</w:t>
            </w:r>
          </w:p>
        </w:tc>
      </w:tr>
      <w:tr w:rsidR="00122117" w:rsidRPr="00A01903" w14:paraId="7A566A54"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03F950A9"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Fitted Student-t simulation, 10 days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0E980DC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-0.084946</w:t>
            </w:r>
          </w:p>
        </w:tc>
      </w:tr>
      <w:tr w:rsidR="00122117" w:rsidRPr="00A01903" w14:paraId="4D0CE81C"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603A1831"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Empirical IID simulation, 10 days</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FBEFD6C"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-0.101676</w:t>
            </w:r>
          </w:p>
        </w:tc>
      </w:tr>
      <w:tr w:rsidR="00122117" w:rsidRPr="00A01903" w14:paraId="27902302"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033145C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Consecutive-block simulation, 10 days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144EA15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-0.122120</w:t>
            </w:r>
          </w:p>
        </w:tc>
      </w:tr>
    </w:tbl>
    <w:p w14:paraId="5F9BC822" w14:textId="77777777" w:rsidR="00122117" w:rsidRPr="00A01903" w:rsidRDefault="00122117" w:rsidP="00A01903">
      <w:pPr>
        <w:jc w:val="both"/>
        <w:rPr>
          <w:rFonts w:ascii="Calibri Light" w:hAnsi="Calibri Light" w:cs="Calibri Light"/>
          <w:sz w:val="22"/>
        </w:rPr>
      </w:pPr>
    </w:p>
    <w:p w14:paraId="7659BA55"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The block method produces the most negative 10-day ES because it preserves runs of consecutive returns and therefore retains short-run dependence and volatility clustering. The IID methods break that ordering.</w:t>
      </w:r>
    </w:p>
    <w:p w14:paraId="6B4E43FD" w14:textId="77777777" w:rsidR="00122117" w:rsidRPr="0045305E" w:rsidRDefault="00000000" w:rsidP="00A01903">
      <w:pPr>
        <w:pStyle w:val="Heading1"/>
        <w:jc w:val="both"/>
        <w:rPr>
          <w:rFonts w:ascii="Calibri" w:hAnsi="Calibri" w:cs="Calibri"/>
          <w:sz w:val="24"/>
          <w:szCs w:val="24"/>
        </w:rPr>
      </w:pPr>
      <w:r w:rsidRPr="0045305E">
        <w:rPr>
          <w:rFonts w:ascii="Calibri" w:hAnsi="Calibri" w:cs="Calibri"/>
          <w:sz w:val="24"/>
          <w:szCs w:val="24"/>
        </w:rPr>
        <w:t>5. Time-series diagnostics</w:t>
      </w:r>
    </w:p>
    <w:p w14:paraId="6F3A56BA" w14:textId="77777777" w:rsidR="0045305E" w:rsidRPr="0045305E" w:rsidRDefault="0045305E" w:rsidP="0045305E"/>
    <w:p w14:paraId="1860BE03" w14:textId="77777777" w:rsidR="0045305E" w:rsidRDefault="00000000" w:rsidP="00A01903">
      <w:pPr>
        <w:jc w:val="both"/>
        <w:rPr>
          <w:rFonts w:ascii="Calibri Light" w:hAnsi="Calibri Light" w:cs="Calibri Light"/>
          <w:sz w:val="22"/>
        </w:rPr>
      </w:pPr>
      <w:r w:rsidRPr="00A01903">
        <w:rPr>
          <w:rFonts w:ascii="Calibri Light" w:hAnsi="Calibri Light" w:cs="Calibri Light"/>
          <w:sz w:val="22"/>
        </w:rPr>
        <w:t xml:space="preserve">The autocorrelation function (ACF) tests whether current observations are related to earlier observations. </w:t>
      </w:r>
    </w:p>
    <w:p w14:paraId="34933D84" w14:textId="2C1E1036"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Raw gold returns show no strong persistent serial correlation, but absolute returns show clear positive persistence.</w:t>
      </w:r>
    </w:p>
    <w:p w14:paraId="0FABCD7E"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noProof/>
          <w:sz w:val="22"/>
        </w:rPr>
        <w:drawing>
          <wp:inline distT="0" distB="0" distL="0" distR="0" wp14:anchorId="1DB84D94" wp14:editId="4284F823">
            <wp:extent cx="6080760" cy="2823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f_diagnostics.png"/>
                    <pic:cNvPicPr/>
                  </pic:nvPicPr>
                  <pic:blipFill>
                    <a:blip r:embed="rId13"/>
                    <a:stretch>
                      <a:fillRect/>
                    </a:stretch>
                  </pic:blipFill>
                  <pic:spPr>
                    <a:xfrm>
                      <a:off x="0" y="0"/>
                      <a:ext cx="6080760" cy="2823210"/>
                    </a:xfrm>
                    <a:prstGeom prst="rect">
                      <a:avLst/>
                    </a:prstGeom>
                  </pic:spPr>
                </pic:pic>
              </a:graphicData>
            </a:graphic>
          </wp:inline>
        </w:drawing>
      </w:r>
    </w:p>
    <w:p w14:paraId="4CF71AC3" w14:textId="77777777" w:rsidR="00122117" w:rsidRPr="00A01903" w:rsidRDefault="00000000" w:rsidP="0045305E">
      <w:pPr>
        <w:jc w:val="center"/>
        <w:rPr>
          <w:rFonts w:ascii="Calibri Light" w:hAnsi="Calibri Light" w:cs="Calibri Light"/>
          <w:sz w:val="22"/>
        </w:rPr>
      </w:pPr>
      <w:r w:rsidRPr="00A01903">
        <w:rPr>
          <w:rFonts w:ascii="Calibri Light" w:hAnsi="Calibri Light" w:cs="Calibri Light"/>
          <w:sz w:val="22"/>
        </w:rPr>
        <w:t>Figure 1. ACF of gold returns and absolute gold returns.</w:t>
      </w:r>
    </w:p>
    <w:p w14:paraId="3743CBC4" w14:textId="77777777" w:rsidR="0045305E" w:rsidRDefault="0045305E" w:rsidP="00A01903">
      <w:pPr>
        <w:jc w:val="both"/>
        <w:rPr>
          <w:rFonts w:ascii="Calibri Light" w:hAnsi="Calibri Light" w:cs="Calibri Light"/>
          <w:sz w:val="22"/>
        </w:rPr>
      </w:pPr>
    </w:p>
    <w:p w14:paraId="3ECA8953" w14:textId="0B8284F0" w:rsidR="00122117" w:rsidRDefault="00000000" w:rsidP="00A01903">
      <w:pPr>
        <w:jc w:val="both"/>
        <w:rPr>
          <w:rFonts w:ascii="Calibri Light" w:hAnsi="Calibri Light" w:cs="Calibri Light"/>
          <w:sz w:val="22"/>
        </w:rPr>
      </w:pPr>
      <w:r w:rsidRPr="00A01903">
        <w:rPr>
          <w:rFonts w:ascii="Calibri Light" w:hAnsi="Calibri Light" w:cs="Calibri Light"/>
          <w:sz w:val="22"/>
        </w:rPr>
        <w:t xml:space="preserve">Most return autocorrelations are close to zero, so past return direction provides little evidence of predictability. The persistent autocorrelation in absolute returns indicates volatility clustering: </w:t>
      </w:r>
      <w:r w:rsidR="0045305E">
        <w:rPr>
          <w:rFonts w:ascii="Calibri Light" w:hAnsi="Calibri Light" w:cs="Calibri Light"/>
          <w:sz w:val="22"/>
        </w:rPr>
        <w:t>L</w:t>
      </w:r>
      <w:r w:rsidRPr="00A01903">
        <w:rPr>
          <w:rFonts w:ascii="Calibri Light" w:hAnsi="Calibri Light" w:cs="Calibri Light"/>
          <w:sz w:val="22"/>
        </w:rPr>
        <w:t>arge price movements tend to be followed by large movements, and small movements by small movements.</w:t>
      </w:r>
    </w:p>
    <w:p w14:paraId="2D26F4A0" w14:textId="77777777" w:rsidR="0045305E" w:rsidRDefault="0045305E" w:rsidP="00A01903">
      <w:pPr>
        <w:jc w:val="both"/>
        <w:rPr>
          <w:rFonts w:ascii="Calibri Light" w:hAnsi="Calibri Light" w:cs="Calibri Light"/>
          <w:sz w:val="22"/>
        </w:rPr>
      </w:pPr>
    </w:p>
    <w:p w14:paraId="3042148B" w14:textId="77777777" w:rsidR="0045305E" w:rsidRPr="00A01903" w:rsidRDefault="0045305E" w:rsidP="00A01903">
      <w:pPr>
        <w:jc w:val="both"/>
        <w:rPr>
          <w:rFonts w:ascii="Calibri Light" w:hAnsi="Calibri Light" w:cs="Calibri Light"/>
          <w:sz w:val="22"/>
        </w:rPr>
      </w:pPr>
    </w:p>
    <w:p w14:paraId="3148A021" w14:textId="77777777" w:rsidR="0045305E" w:rsidRDefault="0045305E" w:rsidP="00A01903">
      <w:pPr>
        <w:pStyle w:val="Heading1"/>
        <w:jc w:val="both"/>
        <w:rPr>
          <w:rFonts w:ascii="Calibri Light" w:hAnsi="Calibri Light" w:cs="Calibri Light"/>
          <w:b w:val="0"/>
          <w:bCs w:val="0"/>
          <w:sz w:val="22"/>
          <w:szCs w:val="22"/>
        </w:rPr>
      </w:pPr>
    </w:p>
    <w:p w14:paraId="7B0310DC" w14:textId="08DD6A6D" w:rsidR="00122117" w:rsidRPr="0045305E" w:rsidRDefault="00000000" w:rsidP="00A01903">
      <w:pPr>
        <w:pStyle w:val="Heading1"/>
        <w:jc w:val="both"/>
        <w:rPr>
          <w:rFonts w:ascii="Calibri" w:hAnsi="Calibri" w:cs="Calibri"/>
          <w:sz w:val="24"/>
          <w:szCs w:val="24"/>
        </w:rPr>
      </w:pPr>
      <w:r w:rsidRPr="0045305E">
        <w:rPr>
          <w:rFonts w:ascii="Calibri" w:hAnsi="Calibri" w:cs="Calibri"/>
          <w:sz w:val="24"/>
          <w:szCs w:val="24"/>
        </w:rPr>
        <w:t>6. GARCH(1,1)-t model</w:t>
      </w:r>
    </w:p>
    <w:p w14:paraId="19450BAB" w14:textId="77777777" w:rsidR="0045305E" w:rsidRPr="0045305E" w:rsidRDefault="0045305E" w:rsidP="0045305E"/>
    <w:p w14:paraId="3FAAD4B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The GARCH model allows conditional variance to change over time. Its variance equation combines a long-run component, the previous squared shock, and the previous conditional variance.</w:t>
      </w:r>
    </w:p>
    <w:p w14:paraId="17AF2FA6" w14:textId="77777777" w:rsidR="00122117" w:rsidRPr="00A01903" w:rsidRDefault="00000000" w:rsidP="0045305E">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02303A99" wp14:editId="3FAB0C12">
            <wp:extent cx="2626747" cy="417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h_variance.png"/>
                    <pic:cNvPicPr/>
                  </pic:nvPicPr>
                  <pic:blipFill>
                    <a:blip r:embed="rId14"/>
                    <a:stretch>
                      <a:fillRect/>
                    </a:stretch>
                  </pic:blipFill>
                  <pic:spPr>
                    <a:xfrm>
                      <a:off x="0" y="0"/>
                      <a:ext cx="2699873" cy="428809"/>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6768"/>
        <w:gridCol w:w="2304"/>
      </w:tblGrid>
      <w:tr w:rsidR="00122117" w:rsidRPr="00A01903" w14:paraId="42203704"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36C3AB80"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Model result</w:t>
            </w:r>
          </w:p>
        </w:tc>
        <w:tc>
          <w:tcPr>
            <w:tcW w:w="2304" w:type="dxa"/>
            <w:tcBorders>
              <w:top w:val="single" w:sz="5" w:space="0" w:color="B7C9DA"/>
              <w:left w:val="single" w:sz="5" w:space="0" w:color="B7C9DA"/>
              <w:bottom w:val="single" w:sz="5" w:space="0" w:color="B7C9DA"/>
              <w:right w:val="single" w:sz="5" w:space="0" w:color="B7C9DA"/>
            </w:tcBorders>
            <w:shd w:val="clear" w:color="auto" w:fill="1F4E78"/>
            <w:vAlign w:val="center"/>
          </w:tcPr>
          <w:p w14:paraId="0B97302F"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color w:val="FFFFFF"/>
                <w:sz w:val="22"/>
              </w:rPr>
              <w:t>Estimate</w:t>
            </w:r>
          </w:p>
        </w:tc>
      </w:tr>
      <w:tr w:rsidR="00122117" w:rsidRPr="00A01903" w14:paraId="3412B345"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68EB7A47"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alpha1: response to new shocks</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CBEF03A"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0.033700</w:t>
            </w:r>
          </w:p>
        </w:tc>
      </w:tr>
      <w:tr w:rsidR="00122117" w:rsidRPr="00A01903" w14:paraId="2633F578"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4C741B82"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beta1: volatility persistence</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1D5021F8"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0.962349</w:t>
            </w:r>
          </w:p>
        </w:tc>
      </w:tr>
      <w:tr w:rsidR="00122117" w:rsidRPr="00A01903" w14:paraId="364D093F"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325CD649"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Student-t shape parameter</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2E957242"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4.403162</w:t>
            </w:r>
          </w:p>
        </w:tc>
      </w:tr>
      <w:tr w:rsidR="00122117" w:rsidRPr="00A01903" w14:paraId="086D77F5"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4468835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Persistence, alpha1 + beta1</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78845994"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0.996048</w:t>
            </w:r>
          </w:p>
        </w:tc>
      </w:tr>
      <w:tr w:rsidR="00122117" w:rsidRPr="00A01903" w14:paraId="3C387CA3"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6A9FA8C6"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Bootstrap one-day 95% VaR</w:t>
            </w:r>
          </w:p>
        </w:tc>
        <w:tc>
          <w:tcPr>
            <w:tcW w:w="2304" w:type="dxa"/>
            <w:tcBorders>
              <w:top w:val="single" w:sz="5" w:space="0" w:color="B7C9DA"/>
              <w:left w:val="single" w:sz="5" w:space="0" w:color="B7C9DA"/>
              <w:bottom w:val="single" w:sz="5" w:space="0" w:color="B7C9DA"/>
              <w:right w:val="single" w:sz="5" w:space="0" w:color="B7C9DA"/>
            </w:tcBorders>
            <w:shd w:val="clear" w:color="auto" w:fill="FFFFFF"/>
            <w:vAlign w:val="center"/>
          </w:tcPr>
          <w:p w14:paraId="0A1AABA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-0.014475</w:t>
            </w:r>
          </w:p>
        </w:tc>
      </w:tr>
      <w:tr w:rsidR="00122117" w:rsidRPr="00A01903" w14:paraId="76DBFBC2" w14:textId="77777777">
        <w:trPr>
          <w:jc w:val="center"/>
        </w:trPr>
        <w:tc>
          <w:tcPr>
            <w:tcW w:w="6768"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5E1257EC"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Bootstrap one-day 95% ES</w:t>
            </w:r>
          </w:p>
        </w:tc>
        <w:tc>
          <w:tcPr>
            <w:tcW w:w="2304" w:type="dxa"/>
            <w:tcBorders>
              <w:top w:val="single" w:sz="5" w:space="0" w:color="B7C9DA"/>
              <w:left w:val="single" w:sz="5" w:space="0" w:color="B7C9DA"/>
              <w:bottom w:val="single" w:sz="5" w:space="0" w:color="B7C9DA"/>
              <w:right w:val="single" w:sz="5" w:space="0" w:color="B7C9DA"/>
            </w:tcBorders>
            <w:shd w:val="clear" w:color="auto" w:fill="DCE6F1"/>
            <w:vAlign w:val="center"/>
          </w:tcPr>
          <w:p w14:paraId="00C3E95B"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-0.021511</w:t>
            </w:r>
          </w:p>
        </w:tc>
      </w:tr>
    </w:tbl>
    <w:p w14:paraId="7056280D" w14:textId="77777777" w:rsidR="00122117" w:rsidRPr="00A01903" w:rsidRDefault="00122117" w:rsidP="00A01903">
      <w:pPr>
        <w:jc w:val="both"/>
        <w:rPr>
          <w:rFonts w:ascii="Calibri Light" w:hAnsi="Calibri Light" w:cs="Calibri Light"/>
          <w:sz w:val="22"/>
        </w:rPr>
      </w:pPr>
    </w:p>
    <w:p w14:paraId="344B7994" w14:textId="77777777" w:rsidR="00122117" w:rsidRPr="00A01903" w:rsidRDefault="00000000" w:rsidP="00A01903">
      <w:pPr>
        <w:jc w:val="center"/>
        <w:rPr>
          <w:rFonts w:ascii="Calibri Light" w:hAnsi="Calibri Light" w:cs="Calibri Light"/>
          <w:sz w:val="22"/>
        </w:rPr>
      </w:pPr>
      <w:r w:rsidRPr="00A01903">
        <w:rPr>
          <w:rFonts w:ascii="Calibri Light" w:hAnsi="Calibri Light" w:cs="Calibri Light"/>
          <w:noProof/>
          <w:sz w:val="22"/>
        </w:rPr>
        <w:drawing>
          <wp:inline distT="0" distB="0" distL="0" distR="0" wp14:anchorId="5A50EFB7" wp14:editId="6E09308B">
            <wp:extent cx="5623560" cy="321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s_and_volatility.png"/>
                    <pic:cNvPicPr/>
                  </pic:nvPicPr>
                  <pic:blipFill>
                    <a:blip r:embed="rId15"/>
                    <a:stretch>
                      <a:fillRect/>
                    </a:stretch>
                  </pic:blipFill>
                  <pic:spPr>
                    <a:xfrm>
                      <a:off x="0" y="0"/>
                      <a:ext cx="5623560" cy="3213463"/>
                    </a:xfrm>
                    <a:prstGeom prst="rect">
                      <a:avLst/>
                    </a:prstGeom>
                  </pic:spPr>
                </pic:pic>
              </a:graphicData>
            </a:graphic>
          </wp:inline>
        </w:drawing>
      </w:r>
    </w:p>
    <w:p w14:paraId="4E83EA2C" w14:textId="77777777" w:rsidR="00122117" w:rsidRPr="00A01903" w:rsidRDefault="00000000" w:rsidP="0045305E">
      <w:pPr>
        <w:jc w:val="center"/>
        <w:rPr>
          <w:rFonts w:ascii="Calibri Light" w:hAnsi="Calibri Light" w:cs="Calibri Light"/>
          <w:sz w:val="22"/>
        </w:rPr>
      </w:pPr>
      <w:r w:rsidRPr="00A01903">
        <w:rPr>
          <w:rFonts w:ascii="Calibri Light" w:hAnsi="Calibri Light" w:cs="Calibri Light"/>
          <w:sz w:val="22"/>
        </w:rPr>
        <w:t>Figure 2. Daily gold returns and fitted GARCH conditional volatility.</w:t>
      </w:r>
    </w:p>
    <w:p w14:paraId="3F96DBB5" w14:textId="77777777" w:rsidR="0045305E" w:rsidRDefault="0045305E" w:rsidP="00A01903">
      <w:pPr>
        <w:jc w:val="both"/>
        <w:rPr>
          <w:rFonts w:ascii="Calibri Light" w:hAnsi="Calibri Light" w:cs="Calibri Light"/>
          <w:sz w:val="22"/>
        </w:rPr>
      </w:pPr>
    </w:p>
    <w:p w14:paraId="35BB77CC" w14:textId="77BA4285" w:rsidR="00122117" w:rsidRDefault="00000000" w:rsidP="00A01903">
      <w:pPr>
        <w:jc w:val="both"/>
        <w:rPr>
          <w:rFonts w:ascii="Calibri Light" w:hAnsi="Calibri Light" w:cs="Calibri Light"/>
          <w:sz w:val="22"/>
        </w:rPr>
      </w:pPr>
      <w:r w:rsidRPr="00A01903">
        <w:rPr>
          <w:rFonts w:ascii="Calibri Light" w:hAnsi="Calibri Light" w:cs="Calibri Light"/>
          <w:sz w:val="22"/>
        </w:rPr>
        <w:t>Estimated volatility rises sharply during turbulent periods and declines gradually afterward. Persistence is close to one, meaning that volatility shocks decay slowly and risk remains elevated after major market moves.</w:t>
      </w:r>
    </w:p>
    <w:p w14:paraId="43EE0111" w14:textId="77777777" w:rsidR="0045305E" w:rsidRPr="00A01903" w:rsidRDefault="0045305E" w:rsidP="00A01903">
      <w:pPr>
        <w:jc w:val="both"/>
        <w:rPr>
          <w:rFonts w:ascii="Calibri Light" w:hAnsi="Calibri Light" w:cs="Calibri Light"/>
          <w:sz w:val="22"/>
        </w:rPr>
      </w:pPr>
    </w:p>
    <w:p w14:paraId="01EA3323" w14:textId="77777777" w:rsidR="0045305E" w:rsidRDefault="0045305E" w:rsidP="0045305E">
      <w:pPr>
        <w:pStyle w:val="Heading1"/>
        <w:jc w:val="both"/>
        <w:rPr>
          <w:rFonts w:ascii="Calibri Light" w:hAnsi="Calibri Light" w:cs="Calibri Light"/>
          <w:b w:val="0"/>
          <w:bCs w:val="0"/>
          <w:sz w:val="22"/>
          <w:szCs w:val="22"/>
        </w:rPr>
      </w:pPr>
    </w:p>
    <w:p w14:paraId="73EF9078" w14:textId="1FC5CA2F" w:rsidR="00122117" w:rsidRPr="0045305E" w:rsidRDefault="00000000" w:rsidP="0045305E">
      <w:pPr>
        <w:pStyle w:val="Heading1"/>
        <w:jc w:val="both"/>
        <w:rPr>
          <w:rFonts w:ascii="Calibri" w:hAnsi="Calibri" w:cs="Calibri"/>
          <w:sz w:val="24"/>
          <w:szCs w:val="24"/>
        </w:rPr>
      </w:pPr>
      <w:r w:rsidRPr="0045305E">
        <w:rPr>
          <w:rFonts w:ascii="Calibri" w:hAnsi="Calibri" w:cs="Calibri"/>
          <w:sz w:val="24"/>
          <w:szCs w:val="24"/>
        </w:rPr>
        <w:t>7. Main conclusions</w:t>
      </w:r>
    </w:p>
    <w:p w14:paraId="06EEE4E7" w14:textId="77777777" w:rsidR="0045305E" w:rsidRPr="0045305E" w:rsidRDefault="0045305E" w:rsidP="0045305E"/>
    <w:p w14:paraId="488630BF" w14:textId="257E528B" w:rsidR="00122117" w:rsidRPr="00A01903" w:rsidRDefault="0045305E" w:rsidP="0045305E">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Gold returns are not normally distributed; they have heavy tails and mild negative skewness.</w:t>
      </w:r>
    </w:p>
    <w:p w14:paraId="5F08F177" w14:textId="163BAD03" w:rsidR="00122117" w:rsidRPr="00A01903" w:rsidRDefault="0045305E" w:rsidP="0045305E">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 xml:space="preserve">Normal </w:t>
      </w:r>
      <w:proofErr w:type="spellStart"/>
      <w:r w:rsidR="00000000" w:rsidRPr="00A01903">
        <w:rPr>
          <w:rFonts w:ascii="Calibri Light" w:hAnsi="Calibri Light" w:cs="Calibri Light"/>
          <w:sz w:val="22"/>
        </w:rPr>
        <w:t>VaR</w:t>
      </w:r>
      <w:proofErr w:type="spellEnd"/>
      <w:r w:rsidR="00000000" w:rsidRPr="00A01903">
        <w:rPr>
          <w:rFonts w:ascii="Calibri Light" w:hAnsi="Calibri Light" w:cs="Calibri Light"/>
          <w:sz w:val="22"/>
        </w:rPr>
        <w:t xml:space="preserve"> and ES underestimate downside risk relative to empirical and heavy-tailed approaches.</w:t>
      </w:r>
    </w:p>
    <w:p w14:paraId="75245983" w14:textId="168202F3" w:rsidR="00122117" w:rsidRPr="00A01903" w:rsidRDefault="0045305E" w:rsidP="0045305E">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Absolute-return autocorrelation confirms volatility clustering.</w:t>
      </w:r>
    </w:p>
    <w:p w14:paraId="0E8AFD64" w14:textId="1CEB1D64" w:rsidR="00122117" w:rsidRPr="00A01903" w:rsidRDefault="0045305E" w:rsidP="0045305E">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The GARCH(1,1)-t model captures time-varying volatility and produces risk estimates that respond to current market conditions.</w:t>
      </w:r>
    </w:p>
    <w:p w14:paraId="0527901E" w14:textId="43C3690D" w:rsidR="00122117" w:rsidRPr="00A01903" w:rsidRDefault="0045305E" w:rsidP="0045305E">
      <w:pPr>
        <w:pStyle w:val="ListBullet"/>
        <w:numPr>
          <w:ilvl w:val="0"/>
          <w:numId w:val="0"/>
        </w:numPr>
        <w:ind w:left="360" w:hanging="360"/>
        <w:jc w:val="both"/>
        <w:rPr>
          <w:rFonts w:ascii="Calibri Light" w:hAnsi="Calibri Light" w:cs="Calibri Light"/>
          <w:sz w:val="22"/>
        </w:rPr>
      </w:pPr>
      <w:r>
        <w:rPr>
          <w:rFonts w:ascii="Calibri Light" w:hAnsi="Calibri Light" w:cs="Calibri Light"/>
          <w:sz w:val="22"/>
        </w:rPr>
        <w:t xml:space="preserve">- </w:t>
      </w:r>
      <w:r w:rsidR="00000000" w:rsidRPr="00A01903">
        <w:rPr>
          <w:rFonts w:ascii="Calibri Light" w:hAnsi="Calibri Light" w:cs="Calibri Light"/>
          <w:sz w:val="22"/>
        </w:rPr>
        <w:t>For a multi-day horizon, block simulation is the most conservative method in this sample because it preserves consecutive return patterns.</w:t>
      </w:r>
    </w:p>
    <w:p w14:paraId="59D07782" w14:textId="77777777" w:rsidR="00122117" w:rsidRPr="0045305E" w:rsidRDefault="00000000" w:rsidP="00A01903">
      <w:pPr>
        <w:pStyle w:val="Heading1"/>
        <w:jc w:val="both"/>
        <w:rPr>
          <w:rFonts w:ascii="Calibri" w:hAnsi="Calibri" w:cs="Calibri"/>
          <w:sz w:val="24"/>
          <w:szCs w:val="24"/>
        </w:rPr>
      </w:pPr>
      <w:r w:rsidRPr="0045305E">
        <w:rPr>
          <w:rFonts w:ascii="Calibri" w:hAnsi="Calibri" w:cs="Calibri"/>
          <w:sz w:val="24"/>
          <w:szCs w:val="24"/>
        </w:rPr>
        <w:t>8. Limitations</w:t>
      </w:r>
    </w:p>
    <w:p w14:paraId="0F19C979" w14:textId="77777777" w:rsidR="0045305E" w:rsidRPr="0045305E" w:rsidRDefault="0045305E" w:rsidP="0045305E"/>
    <w:p w14:paraId="2D85A14D" w14:textId="77777777" w:rsidR="00122117" w:rsidRPr="00A01903" w:rsidRDefault="00000000" w:rsidP="00A01903">
      <w:pPr>
        <w:jc w:val="both"/>
        <w:rPr>
          <w:rFonts w:ascii="Calibri Light" w:hAnsi="Calibri Light" w:cs="Calibri Light"/>
          <w:sz w:val="22"/>
        </w:rPr>
      </w:pPr>
      <w:r w:rsidRPr="00A01903">
        <w:rPr>
          <w:rFonts w:ascii="Calibri Light" w:hAnsi="Calibri Light" w:cs="Calibri Light"/>
          <w:sz w:val="22"/>
        </w:rPr>
        <w:t>GC=F is a futures-price proxy rather than a spot gold series. Results depend on the selected sample, model specification, confidence level, and simulation method. A production risk system should also use out-of-sample forecasting, VaR backtesting, alternative asymmetric volatility models, and transaction or liquidity considerations.</w:t>
      </w:r>
    </w:p>
    <w:sectPr w:rsidR="00122117" w:rsidRPr="00A01903"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48BABF" w14:textId="77777777" w:rsidR="00264143" w:rsidRDefault="00264143">
      <w:pPr>
        <w:spacing w:after="0" w:line="240" w:lineRule="auto"/>
      </w:pPr>
      <w:r>
        <w:separator/>
      </w:r>
    </w:p>
  </w:endnote>
  <w:endnote w:type="continuationSeparator" w:id="0">
    <w:p w14:paraId="238E15FA" w14:textId="77777777" w:rsidR="00264143" w:rsidRDefault="0026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9B874" w14:textId="77777777" w:rsidR="00122117" w:rsidRDefault="00000000">
    <w:pPr>
      <w:pStyle w:val="Footer"/>
      <w:jc w:val="center"/>
    </w:pPr>
    <w:r>
      <w:t xml:space="preserve">Gold Market Risk Analysis in R  |  </w:t>
    </w:r>
    <w:r>
      <w:fldChar w:fldCharType="begin"/>
    </w:r>
    <w:r>
      <w:instrText>PAGE</w:instrText>
    </w:r>
    <w:r>
      <w:fldChar w:fldCharType="separate"/>
    </w:r>
    <w:r w:rsidR="00A019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A8440F" w14:textId="77777777" w:rsidR="00264143" w:rsidRDefault="00264143">
      <w:pPr>
        <w:spacing w:after="0" w:line="240" w:lineRule="auto"/>
      </w:pPr>
      <w:r>
        <w:separator/>
      </w:r>
    </w:p>
  </w:footnote>
  <w:footnote w:type="continuationSeparator" w:id="0">
    <w:p w14:paraId="1D833206" w14:textId="77777777" w:rsidR="00264143" w:rsidRDefault="0026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928330">
    <w:abstractNumId w:val="8"/>
  </w:num>
  <w:num w:numId="2" w16cid:durableId="969433552">
    <w:abstractNumId w:val="6"/>
  </w:num>
  <w:num w:numId="3" w16cid:durableId="1889680371">
    <w:abstractNumId w:val="5"/>
  </w:num>
  <w:num w:numId="4" w16cid:durableId="1280797784">
    <w:abstractNumId w:val="4"/>
  </w:num>
  <w:num w:numId="5" w16cid:durableId="1906910907">
    <w:abstractNumId w:val="7"/>
  </w:num>
  <w:num w:numId="6" w16cid:durableId="1733113916">
    <w:abstractNumId w:val="3"/>
  </w:num>
  <w:num w:numId="7" w16cid:durableId="1884246860">
    <w:abstractNumId w:val="2"/>
  </w:num>
  <w:num w:numId="8" w16cid:durableId="774403159">
    <w:abstractNumId w:val="1"/>
  </w:num>
  <w:num w:numId="9" w16cid:durableId="209757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B25"/>
    <w:rsid w:val="00122117"/>
    <w:rsid w:val="00122D6A"/>
    <w:rsid w:val="0015074B"/>
    <w:rsid w:val="00264143"/>
    <w:rsid w:val="0029639D"/>
    <w:rsid w:val="00326F90"/>
    <w:rsid w:val="003913F2"/>
    <w:rsid w:val="0045305E"/>
    <w:rsid w:val="007C0D0C"/>
    <w:rsid w:val="00A019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C7799"/>
  <w14:defaultImageDpi w14:val="300"/>
  <w15:docId w15:val="{64D3040D-2D54-1148-A620-CA34D61CA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ZAKARIYA BOUTAYEB</cp:lastModifiedBy>
  <cp:revision>5</cp:revision>
  <dcterms:created xsi:type="dcterms:W3CDTF">2026-09-08T17:00:00Z</dcterms:created>
  <dcterms:modified xsi:type="dcterms:W3CDTF">2026-09-08T17:10:00Z</dcterms:modified>
  <cp:category/>
</cp:coreProperties>
</file>