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0"/>
      </w:pPr>
    </w:p>
    <w:p>
      <w:pPr>
        <w:spacing w:after="120"/>
        <w:jc w:val="center"/>
      </w:pPr>
      <w:r>
        <w:rPr>
          <w:rFonts w:ascii="Calibri" w:cs="Calibri" w:eastAsia="Calibri" w:hAnsi="Calibri"/>
          <w:b/>
          <w:bCs/>
          <w:color w:val="2F5D50"/>
          <w:sz w:val="40"/>
          <w:szCs w:val="40"/>
        </w:rPr>
        <w:t xml:space="preserve">SEASONAL ANALYSIS OF EQUITIES</w:t>
      </w:r>
    </w:p>
    <w:p>
      <w:pPr>
        <w:spacing w:after="120"/>
        <w:jc w:val="center"/>
      </w:pPr>
      <w:r>
        <w:rPr>
          <w:rFonts w:ascii="Calibri" w:cs="Calibri" w:eastAsia="Calibri" w:hAnsi="Calibri"/>
          <w:color w:val="5E6B66"/>
          <w:sz w:val="22"/>
          <w:szCs w:val="22"/>
        </w:rPr>
        <w:t xml:space="preserve">A Statistically Validated Seasonal Engine within an Integrated Indian Equity Analysis Platform</w:t>
      </w:r>
    </w:p>
    <w:p>
      <w:pPr>
        <w:pBdr>
          <w:bottom w:val="single" w:color="A96A28" w:sz="10" w:space="10"/>
        </w:pBdr>
        <w:spacing w:after="820"/>
        <w:jc w:val="center"/>
      </w:pPr>
    </w:p>
    <w:p>
      <w:pPr>
        <w:spacing w:after="60"/>
        <w:jc w:val="center"/>
      </w:pPr>
      <w:r>
        <w:rPr>
          <w:rFonts w:ascii="Calibri" w:cs="Calibri" w:eastAsia="Calibri" w:hAnsi="Calibri"/>
          <w:b/>
          <w:bCs/>
          <w:color w:val="1C2321"/>
          <w:sz w:val="26"/>
          <w:szCs w:val="26"/>
        </w:rPr>
        <w:t xml:space="preserve">Project Report — Review 1</w:t>
      </w:r>
    </w:p>
    <w:p>
      <w:pPr>
        <w:spacing w:after="1000"/>
        <w:jc w:val="center"/>
      </w:pPr>
      <w:r>
        <w:rPr>
          <w:rFonts w:ascii="Calibri" w:cs="Calibri" w:eastAsia="Calibri" w:hAnsi="Calibri"/>
          <w:color w:val="5E6B66"/>
          <w:sz w:val="21"/>
          <w:szCs w:val="21"/>
        </w:rPr>
        <w:t xml:space="preserve">Capstone / Major Project</w:t>
      </w:r>
    </w:p>
    <w:tbl>
      <w:tblPr>
        <w:tblW w:type="dxa" w:w="9602"/>
        <w:tblBorders>
          <w:top w:val="single" w:color="B9C7C1" w:sz="4"/>
          <w:left w:val="single" w:color="B9C7C1" w:sz="4"/>
          <w:bottom w:val="single" w:color="B9C7C1" w:sz="4"/>
          <w:right w:val="single" w:color="B9C7C1" w:sz="4"/>
          <w:insideH w:val="single" w:color="B9C7C1" w:sz="4"/>
          <w:insideV w:val="single" w:color="B9C7C1" w:sz="4"/>
        </w:tblBorders>
      </w:tblPr>
      <w:tblGrid>
        <w:gridCol w:w="2500"/>
        <w:gridCol w:w="7102"/>
      </w:tblGrid>
      <w:tr>
        <w:trPr>
          <w:tblHeader w:val="false"/>
        </w:trPr>
        <w:tc>
          <w:tcPr>
            <w:tcW w:type="dxa" w:w="25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21"/>
                <w:szCs w:val="21"/>
              </w:rPr>
              <w:t xml:space="preserve">Project Title</w:t>
            </w:r>
          </w:p>
        </w:tc>
        <w:tc>
          <w:tcPr>
            <w:tcW w:type="dxa" w:w="710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21"/>
                <w:szCs w:val="21"/>
              </w:rPr>
              <w:t xml:space="preserve">Seasonal Analysis of Equities</w:t>
            </w:r>
          </w:p>
        </w:tc>
      </w:tr>
      <w:tr>
        <w:trPr>
          <w:tblHeader w:val="false"/>
        </w:trPr>
        <w:tc>
          <w:tcPr>
            <w:tcW w:type="dxa" w:w="25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21"/>
                <w:szCs w:val="21"/>
              </w:rPr>
              <w:t xml:space="preserve">Domain</w:t>
            </w:r>
          </w:p>
        </w:tc>
        <w:tc>
          <w:tcPr>
            <w:tcW w:type="dxa" w:w="710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21"/>
                <w:szCs w:val="21"/>
              </w:rPr>
              <w:t xml:space="preserve">Financial Data Analytics · Applied Statistics · Applied Machine Learning</w:t>
            </w:r>
          </w:p>
        </w:tc>
      </w:tr>
      <w:tr>
        <w:trPr>
          <w:tblHeader w:val="false"/>
        </w:trPr>
        <w:tc>
          <w:tcPr>
            <w:tcW w:type="dxa" w:w="25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21"/>
                <w:szCs w:val="21"/>
              </w:rPr>
              <w:t xml:space="preserve">Market Studied</w:t>
            </w:r>
          </w:p>
        </w:tc>
        <w:tc>
          <w:tcPr>
            <w:tcW w:type="dxa" w:w="710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21"/>
                <w:szCs w:val="21"/>
              </w:rPr>
              <w:t xml:space="preserve">Indian equity market — NSE sector indices and constituents</w:t>
            </w:r>
          </w:p>
        </w:tc>
      </w:tr>
      <w:tr>
        <w:trPr>
          <w:tblHeader w:val="false"/>
        </w:trPr>
        <w:tc>
          <w:tcPr>
            <w:tcW w:type="dxa" w:w="25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21"/>
                <w:szCs w:val="21"/>
              </w:rPr>
              <w:t xml:space="preserve">Core Contribution</w:t>
            </w:r>
          </w:p>
        </w:tc>
        <w:tc>
          <w:tcPr>
            <w:tcW w:type="dxa" w:w="710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21"/>
                <w:szCs w:val="21"/>
              </w:rPr>
              <w:t xml:space="preserve">A market-relative, significance-tested seasonal engine for Indian sector equities</w:t>
            </w:r>
          </w:p>
        </w:tc>
      </w:tr>
      <w:tr>
        <w:trPr>
          <w:tblHeader w:val="false"/>
        </w:trPr>
        <w:tc>
          <w:tcPr>
            <w:tcW w:type="dxa" w:w="25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21"/>
                <w:szCs w:val="21"/>
              </w:rPr>
              <w:t xml:space="preserve">System Deliverable</w:t>
            </w:r>
          </w:p>
        </w:tc>
        <w:tc>
          <w:tcPr>
            <w:tcW w:type="dxa" w:w="710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21"/>
                <w:szCs w:val="21"/>
              </w:rPr>
              <w:t xml:space="preserve">An integrated multi-module equity analysis platform housing that engine</w:t>
            </w:r>
          </w:p>
        </w:tc>
      </w:tr>
      <w:tr>
        <w:trPr>
          <w:tblHeader w:val="false"/>
        </w:trPr>
        <w:tc>
          <w:tcPr>
            <w:tcW w:type="dxa" w:w="25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21"/>
                <w:szCs w:val="21"/>
              </w:rPr>
              <w:t xml:space="preserve">Review Stage</w:t>
            </w:r>
          </w:p>
        </w:tc>
        <w:tc>
          <w:tcPr>
            <w:tcW w:type="dxa" w:w="710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21"/>
                <w:szCs w:val="21"/>
              </w:rPr>
              <w:t xml:space="preserve">Review 1 — problem definition, proposed design, objectives, scope and plan</w:t>
            </w:r>
          </w:p>
        </w:tc>
      </w:tr>
    </w:tbl>
    <w:p>
      <w:pPr>
        <w:pageBreakBefore/>
      </w:pPr>
    </w:p>
    <w:p>
      <w:pPr>
        <w:pStyle w:val="Heading1"/>
        <w:pBdr>
          <w:bottom w:val="single" w:color="2F5D50" w:sz="8" w:space="4"/>
        </w:pBdr>
        <w:spacing w:after="150" w:before="340"/>
      </w:pPr>
      <w:r>
        <w:rPr>
          <w:rFonts w:ascii="Calibri" w:cs="Calibri" w:eastAsia="Calibri" w:hAnsi="Calibri"/>
          <w:b/>
          <w:bCs/>
          <w:color w:val="2F5D50"/>
          <w:sz w:val="27"/>
          <w:szCs w:val="27"/>
        </w:rPr>
        <w:t xml:space="preserve">1. Project Title and Technical Relevance</w:t>
      </w:r>
    </w:p>
    <w:p>
      <w:pPr>
        <w:pStyle w:val="Heading2"/>
        <w:spacing w:after="90" w:before="230"/>
      </w:pPr>
      <w:r>
        <w:rPr>
          <w:rFonts w:ascii="Calibri" w:cs="Calibri" w:eastAsia="Calibri" w:hAnsi="Calibri"/>
          <w:b/>
          <w:bCs/>
          <w:color w:val="3E6B5E"/>
          <w:sz w:val="23"/>
          <w:szCs w:val="23"/>
        </w:rPr>
        <w:t xml:space="preserve">1.1 Title</w:t>
      </w:r>
    </w:p>
    <w:p>
      <w:pPr>
        <w:spacing w:after="110" w:line="276"/>
        <w:jc w:val="both"/>
      </w:pPr>
      <w:r>
        <w:rPr>
          <w:rFonts w:ascii="Calibri" w:cs="Calibri" w:eastAsia="Calibri" w:hAnsi="Calibri"/>
          <w:b/>
          <w:bCs/>
          <w:i w:val="false"/>
          <w:iCs w:val="false"/>
          <w:color w:val="2F5D50"/>
          <w:sz w:val="21"/>
          <w:szCs w:val="21"/>
        </w:rPr>
        <w:t xml:space="preserve">Seasonal Analysis of Equities</w:t>
      </w:r>
      <w:r>
        <w:rPr>
          <w:rFonts w:ascii="Calibri" w:cs="Calibri" w:eastAsia="Calibri" w:hAnsi="Calibri"/>
          <w:b w:val="false"/>
          <w:bCs w:val="false"/>
          <w:i w:val="false"/>
          <w:iCs w:val="false"/>
          <w:color w:val="1C2321"/>
          <w:sz w:val="21"/>
          <w:szCs w:val="21"/>
        </w:rPr>
        <w:t xml:space="preserve"> — a statistically validated framework for detecting and testing month-of-year return patterns in Indian sector equities, delivered inside an integrated equity analysis platform.</w:t>
      </w:r>
    </w:p>
    <w:p>
      <w:pPr>
        <w:pStyle w:val="Heading2"/>
        <w:spacing w:after="90" w:before="230"/>
      </w:pPr>
      <w:r>
        <w:rPr>
          <w:rFonts w:ascii="Calibri" w:cs="Calibri" w:eastAsia="Calibri" w:hAnsi="Calibri"/>
          <w:b/>
          <w:bCs/>
          <w:color w:val="3E6B5E"/>
          <w:sz w:val="23"/>
          <w:szCs w:val="23"/>
        </w:rPr>
        <w:t xml:space="preserve">1.2 Why This Title</w:t>
      </w:r>
    </w:p>
    <w:p>
      <w:pPr>
        <w:spacing w:after="110" w:line="276"/>
        <w:jc w:val="both"/>
      </w:pPr>
      <w:r>
        <w:rPr>
          <w:rFonts w:ascii="Calibri" w:cs="Calibri" w:eastAsia="Calibri" w:hAnsi="Calibri"/>
          <w:b w:val="false"/>
          <w:bCs w:val="false"/>
          <w:i w:val="false"/>
          <w:iCs w:val="false"/>
          <w:color w:val="1C2321"/>
          <w:sz w:val="21"/>
          <w:szCs w:val="21"/>
        </w:rPr>
        <w:t xml:space="preserve">The title is deliberately specific. Three words define the work:</w:t>
      </w:r>
    </w:p>
    <w:p>
      <w:pPr>
        <w:pStyle w:val="ListParagraph"/>
        <w:numPr>
          <w:ilvl w:val="0"/>
          <w:numId w:val="2"/>
        </w:numPr>
        <w:spacing w:after="70" w:line="276"/>
      </w:pPr>
      <w:r>
        <w:rPr>
          <w:rFonts w:ascii="Calibri" w:cs="Calibri" w:eastAsia="Calibri" w:hAnsi="Calibri"/>
          <w:b/>
          <w:bCs/>
          <w:i w:val="false"/>
          <w:iCs w:val="false"/>
          <w:color w:val="A96A28"/>
          <w:sz w:val="21"/>
          <w:szCs w:val="21"/>
        </w:rPr>
        <w:t xml:space="preserve">Seasonal</w:t>
      </w:r>
      <w:r>
        <w:rPr>
          <w:rFonts w:ascii="Calibri" w:cs="Calibri" w:eastAsia="Calibri" w:hAnsi="Calibri"/>
          <w:b w:val="false"/>
          <w:bCs w:val="false"/>
          <w:i w:val="false"/>
          <w:iCs w:val="false"/>
          <w:color w:val="1C2321"/>
          <w:sz w:val="21"/>
          <w:szCs w:val="21"/>
        </w:rPr>
        <w:t xml:space="preserve"> — the central study is restricted to calendar-driven return patterns (month of year, quarter, Budget and festival cycles), not general price prediction.</w:t>
      </w:r>
    </w:p>
    <w:p>
      <w:pPr>
        <w:pStyle w:val="ListParagraph"/>
        <w:numPr>
          <w:ilvl w:val="0"/>
          <w:numId w:val="2"/>
        </w:numPr>
        <w:spacing w:after="70" w:line="276"/>
      </w:pPr>
      <w:r>
        <w:rPr>
          <w:rFonts w:ascii="Calibri" w:cs="Calibri" w:eastAsia="Calibri" w:hAnsi="Calibri"/>
          <w:b/>
          <w:bCs/>
          <w:i w:val="false"/>
          <w:iCs w:val="false"/>
          <w:color w:val="A96A28"/>
          <w:sz w:val="21"/>
          <w:szCs w:val="21"/>
        </w:rPr>
        <w:t xml:space="preserve">Analysis</w:t>
      </w:r>
      <w:r>
        <w:rPr>
          <w:rFonts w:ascii="Calibri" w:cs="Calibri" w:eastAsia="Calibri" w:hAnsi="Calibri"/>
          <w:b w:val="false"/>
          <w:bCs w:val="false"/>
          <w:i w:val="false"/>
          <w:iCs w:val="false"/>
          <w:color w:val="1C2321"/>
          <w:sz w:val="21"/>
          <w:szCs w:val="21"/>
        </w:rPr>
        <w:t xml:space="preserve"> — the output is measurement, evidence and explanation, not a trading recommendation engine.</w:t>
      </w:r>
    </w:p>
    <w:p>
      <w:pPr>
        <w:pStyle w:val="ListParagraph"/>
        <w:numPr>
          <w:ilvl w:val="0"/>
          <w:numId w:val="2"/>
        </w:numPr>
        <w:spacing w:after="70" w:line="276"/>
      </w:pPr>
      <w:r>
        <w:rPr>
          <w:rFonts w:ascii="Calibri" w:cs="Calibri" w:eastAsia="Calibri" w:hAnsi="Calibri"/>
          <w:b/>
          <w:bCs/>
          <w:i w:val="false"/>
          <w:iCs w:val="false"/>
          <w:color w:val="A96A28"/>
          <w:sz w:val="21"/>
          <w:szCs w:val="21"/>
        </w:rPr>
        <w:t xml:space="preserve">Equities</w:t>
      </w:r>
      <w:r>
        <w:rPr>
          <w:rFonts w:ascii="Calibri" w:cs="Calibri" w:eastAsia="Calibri" w:hAnsi="Calibri"/>
          <w:b w:val="false"/>
          <w:bCs w:val="false"/>
          <w:i w:val="false"/>
          <w:iCs w:val="false"/>
          <w:color w:val="1C2321"/>
          <w:sz w:val="21"/>
          <w:szCs w:val="21"/>
        </w:rPr>
        <w:t xml:space="preserve"> — the asset class is listed Indian equities, studied at sector-index level and then at individual stock level.</w:t>
      </w:r>
    </w:p>
    <w:p>
      <w:pPr>
        <w:spacing w:after="110" w:line="276"/>
        <w:jc w:val="both"/>
      </w:pPr>
      <w:r>
        <w:rPr>
          <w:rFonts w:ascii="Calibri" w:cs="Calibri" w:eastAsia="Calibri" w:hAnsi="Calibri"/>
          <w:b w:val="false"/>
          <w:bCs w:val="false"/>
          <w:i w:val="false"/>
          <w:iCs w:val="false"/>
          <w:color w:val="1C2321"/>
          <w:sz w:val="21"/>
          <w:szCs w:val="21"/>
        </w:rPr>
        <w:t xml:space="preserve">The seasonal engine is the project's research contribution. It does not sit alone: to be useful, a seasonal signal has to be read next to a stock's technical condition, its fundamentals, what the news is saying about it, how its sector peers are doing and what external shocks it is exposed to. The proposed system therefore surrounds the seasonal engine with the supporting analysis modules described in Section 4.</w:t>
      </w:r>
    </w:p>
    <w:p>
      <w:pPr>
        <w:pStyle w:val="Heading2"/>
        <w:spacing w:after="90" w:before="230"/>
      </w:pPr>
      <w:r>
        <w:rPr>
          <w:rFonts w:ascii="Calibri" w:cs="Calibri" w:eastAsia="Calibri" w:hAnsi="Calibri"/>
          <w:b/>
          <w:bCs/>
          <w:color w:val="3E6B5E"/>
          <w:sz w:val="23"/>
          <w:szCs w:val="23"/>
        </w:rPr>
        <w:t xml:space="preserve">1.3 Technical Relevance</w:t>
      </w:r>
    </w:p>
    <w:p>
      <w:pPr>
        <w:spacing w:after="110" w:line="276"/>
        <w:jc w:val="both"/>
      </w:pPr>
      <w:r>
        <w:rPr>
          <w:rFonts w:ascii="Calibri" w:cs="Calibri" w:eastAsia="Calibri" w:hAnsi="Calibri"/>
          <w:b w:val="false"/>
          <w:bCs w:val="false"/>
          <w:i w:val="false"/>
          <w:iCs w:val="false"/>
          <w:color w:val="1C2321"/>
          <w:sz w:val="21"/>
          <w:szCs w:val="21"/>
        </w:rPr>
        <w:t xml:space="preserve">Seasonality is one of the oldest and most heavily traded ideas in finance, and also one of the most poorly validated. Retail platforms, broker research and financial media routinely publish claims such as "April is the best month" or "buy autos before Diwali." These claims are almost always produced by averaging raw monthly returns over a handful of years. That method has two well-known technical defects:</w:t>
      </w:r>
    </w:p>
    <w:p>
      <w:pPr>
        <w:pStyle w:val="ListParagraph"/>
        <w:numPr>
          <w:ilvl w:val="0"/>
          <w:numId w:val="2"/>
        </w:numPr>
        <w:spacing w:after="70" w:line="276"/>
      </w:pPr>
      <w:r>
        <w:rPr>
          <w:rFonts w:ascii="Calibri" w:cs="Calibri" w:eastAsia="Calibri" w:hAnsi="Calibri"/>
          <w:b/>
          <w:bCs/>
          <w:i w:val="false"/>
          <w:iCs w:val="false"/>
          <w:color w:val="1C2321"/>
          <w:sz w:val="21"/>
          <w:szCs w:val="21"/>
        </w:rPr>
        <w:t xml:space="preserve">Market beta contamination.</w:t>
      </w:r>
      <w:r>
        <w:rPr>
          <w:rFonts w:ascii="Calibri" w:cs="Calibri" w:eastAsia="Calibri" w:hAnsi="Calibri"/>
          <w:b w:val="false"/>
          <w:bCs w:val="false"/>
          <w:i w:val="false"/>
          <w:iCs w:val="false"/>
          <w:color w:val="1C2321"/>
          <w:sz w:val="21"/>
          <w:szCs w:val="21"/>
        </w:rPr>
        <w:t xml:space="preserve"> If the whole market rises in April, every sector shows a positive April average. The reported "sector seasonality" is mostly the market, not the sector.</w:t>
      </w:r>
    </w:p>
    <w:p>
      <w:pPr>
        <w:pStyle w:val="ListParagraph"/>
        <w:numPr>
          <w:ilvl w:val="0"/>
          <w:numId w:val="2"/>
        </w:numPr>
        <w:spacing w:after="70" w:line="276"/>
      </w:pPr>
      <w:r>
        <w:rPr>
          <w:rFonts w:ascii="Calibri" w:cs="Calibri" w:eastAsia="Calibri" w:hAnsi="Calibri"/>
          <w:b/>
          <w:bCs/>
          <w:i w:val="false"/>
          <w:iCs w:val="false"/>
          <w:color w:val="1C2321"/>
          <w:sz w:val="21"/>
          <w:szCs w:val="21"/>
        </w:rPr>
        <w:t xml:space="preserve">No significance testing.</w:t>
      </w:r>
      <w:r>
        <w:rPr>
          <w:rFonts w:ascii="Calibri" w:cs="Calibri" w:eastAsia="Calibri" w:hAnsi="Calibri"/>
          <w:b w:val="false"/>
          <w:bCs w:val="false"/>
          <w:i w:val="false"/>
          <w:iCs w:val="false"/>
          <w:color w:val="1C2321"/>
          <w:sz w:val="21"/>
          <w:szCs w:val="21"/>
        </w:rPr>
        <w:t xml:space="preserve"> With only ten to fifteen observations per month, a two percent average difference is easily pure noise. Averages are reported without any test of whether they differ from zero.</w:t>
      </w:r>
    </w:p>
    <w:p>
      <w:pPr>
        <w:spacing w:after="110" w:line="276"/>
        <w:jc w:val="both"/>
      </w:pPr>
      <w:r>
        <w:rPr>
          <w:rFonts w:ascii="Calibri" w:cs="Calibri" w:eastAsia="Calibri" w:hAnsi="Calibri"/>
          <w:b w:val="false"/>
          <w:bCs w:val="false"/>
          <w:i w:val="false"/>
          <w:iCs w:val="false"/>
          <w:color w:val="1C2321"/>
          <w:sz w:val="21"/>
          <w:szCs w:val="21"/>
        </w:rPr>
        <w:t xml:space="preserve">This project is technically relevant because it treats seasonality as a hypothesis-testing problem rather than a charting exercise. It applies benchmark-relative returns, formal significance testing, multiple-testing awareness and out-of-sample validation — the same standards used in published asset pricing research — and delivers them inside a working application. The relevance is threefold:</w:t>
      </w:r>
    </w:p>
    <w:p>
      <w:pPr>
        <w:pStyle w:val="ListParagraph"/>
        <w:numPr>
          <w:ilvl w:val="0"/>
          <w:numId w:val="2"/>
        </w:numPr>
        <w:spacing w:after="70" w:line="276"/>
      </w:pPr>
      <w:r>
        <w:rPr>
          <w:rFonts w:ascii="Calibri" w:cs="Calibri" w:eastAsia="Calibri" w:hAnsi="Calibri"/>
          <w:b/>
          <w:bCs/>
          <w:i w:val="false"/>
          <w:iCs w:val="false"/>
          <w:color w:val="1C2321"/>
          <w:sz w:val="21"/>
          <w:szCs w:val="21"/>
        </w:rPr>
        <w:t xml:space="preserve">Methodological.</w:t>
      </w:r>
      <w:r>
        <w:rPr>
          <w:rFonts w:ascii="Calibri" w:cs="Calibri" w:eastAsia="Calibri" w:hAnsi="Calibri"/>
          <w:b w:val="false"/>
          <w:bCs w:val="false"/>
          <w:i w:val="false"/>
          <w:iCs w:val="false"/>
          <w:color w:val="1C2321"/>
          <w:sz w:val="21"/>
          <w:szCs w:val="21"/>
        </w:rPr>
        <w:t xml:space="preserve"> A defensible way to measure sector seasonality in the Indian market, with negative results reported as clearly as positive ones.</w:t>
      </w:r>
    </w:p>
    <w:p>
      <w:pPr>
        <w:pStyle w:val="ListParagraph"/>
        <w:numPr>
          <w:ilvl w:val="0"/>
          <w:numId w:val="2"/>
        </w:numPr>
        <w:spacing w:after="70" w:line="276"/>
      </w:pPr>
      <w:r>
        <w:rPr>
          <w:rFonts w:ascii="Calibri" w:cs="Calibri" w:eastAsia="Calibri" w:hAnsi="Calibri"/>
          <w:b/>
          <w:bCs/>
          <w:i w:val="false"/>
          <w:iCs w:val="false"/>
          <w:color w:val="1C2321"/>
          <w:sz w:val="21"/>
          <w:szCs w:val="21"/>
        </w:rPr>
        <w:t xml:space="preserve">Engineering.</w:t>
      </w:r>
      <w:r>
        <w:rPr>
          <w:rFonts w:ascii="Calibri" w:cs="Calibri" w:eastAsia="Calibri" w:hAnsi="Calibri"/>
          <w:b w:val="false"/>
          <w:bCs w:val="false"/>
          <w:i w:val="false"/>
          <w:iCs w:val="false"/>
          <w:color w:val="1C2321"/>
          <w:sz w:val="21"/>
          <w:szCs w:val="21"/>
        </w:rPr>
        <w:t xml:space="preserve"> A reproducible, modular data and analysis pipeline: ingestion, six-factor scoring, machine-learning consensus, geopolitical exposure and a validation harness, all behind one interface.</w:t>
      </w:r>
    </w:p>
    <w:p>
      <w:pPr>
        <w:pStyle w:val="ListParagraph"/>
        <w:numPr>
          <w:ilvl w:val="0"/>
          <w:numId w:val="2"/>
        </w:numPr>
        <w:spacing w:after="70" w:line="276"/>
      </w:pPr>
      <w:r>
        <w:rPr>
          <w:rFonts w:ascii="Calibri" w:cs="Calibri" w:eastAsia="Calibri" w:hAnsi="Calibri"/>
          <w:b/>
          <w:bCs/>
          <w:i w:val="false"/>
          <w:iCs w:val="false"/>
          <w:color w:val="1C2321"/>
          <w:sz w:val="21"/>
          <w:szCs w:val="21"/>
        </w:rPr>
        <w:t xml:space="preserve">India-specific.</w:t>
      </w:r>
      <w:r>
        <w:rPr>
          <w:rFonts w:ascii="Calibri" w:cs="Calibri" w:eastAsia="Calibri" w:hAnsi="Calibri"/>
          <w:b w:val="false"/>
          <w:bCs w:val="false"/>
          <w:i w:val="false"/>
          <w:iCs w:val="false"/>
          <w:color w:val="1C2321"/>
          <w:sz w:val="21"/>
          <w:szCs w:val="21"/>
        </w:rPr>
        <w:t xml:space="preserve"> Indian seasonality is driven by events that do not exist in US or European data — the Union Budget in February, the 31 March financial year end, the monsoon, and the Diwali and Samvat festive cycle. Most published seasonality work is US-based, so a rigorous India-specific treatment addresses a genuine gap.</w:t>
      </w:r>
    </w:p>
    <w:p>
      <w:pPr>
        <w:pStyle w:val="Heading1"/>
        <w:pBdr>
          <w:bottom w:val="single" w:color="2F5D50" w:sz="8" w:space="4"/>
        </w:pBdr>
        <w:spacing w:after="150" w:before="340"/>
      </w:pPr>
      <w:r>
        <w:rPr>
          <w:rFonts w:ascii="Calibri" w:cs="Calibri" w:eastAsia="Calibri" w:hAnsi="Calibri"/>
          <w:b/>
          <w:bCs/>
          <w:color w:val="2F5D50"/>
          <w:sz w:val="27"/>
          <w:szCs w:val="27"/>
        </w:rPr>
        <w:t xml:space="preserve">2. Abstract and Problem Definition</w:t>
      </w:r>
    </w:p>
    <w:p>
      <w:pPr>
        <w:pStyle w:val="Heading2"/>
        <w:spacing w:after="90" w:before="230"/>
      </w:pPr>
      <w:r>
        <w:rPr>
          <w:rFonts w:ascii="Calibri" w:cs="Calibri" w:eastAsia="Calibri" w:hAnsi="Calibri"/>
          <w:b/>
          <w:bCs/>
          <w:color w:val="3E6B5E"/>
          <w:sz w:val="23"/>
          <w:szCs w:val="23"/>
        </w:rPr>
        <w:t xml:space="preserve">2.1 Abstract</w:t>
      </w:r>
    </w:p>
    <w:p>
      <w:pPr>
        <w:spacing w:after="110" w:line="276"/>
        <w:jc w:val="both"/>
      </w:pPr>
      <w:r>
        <w:rPr>
          <w:rFonts w:ascii="Calibri" w:cs="Calibri" w:eastAsia="Calibri" w:hAnsi="Calibri"/>
          <w:b w:val="false"/>
          <w:bCs w:val="false"/>
          <w:i w:val="false"/>
          <w:iCs w:val="false"/>
          <w:color w:val="1C2321"/>
          <w:sz w:val="21"/>
          <w:szCs w:val="21"/>
        </w:rPr>
        <w:t xml:space="preserve">Equity markets are widely believed to follow recurring calendar patterns. In India these beliefs are strong and specific: a Budget-month effect in February, a financial year-end effect in March, a monsoon effect on rural-demand sectors, and a festive effect around Diwali. Almost all publicly available versions of this analysis are built on simple averages of past monthly returns, which cannot separate a genuine sector pattern from an overall market move, and which report patterns that are statistically indistinguishable from random variation.</w:t>
      </w:r>
    </w:p>
    <w:p>
      <w:pPr>
        <w:spacing w:after="110" w:line="276"/>
        <w:jc w:val="both"/>
      </w:pPr>
      <w:r>
        <w:rPr>
          <w:rFonts w:ascii="Calibri" w:cs="Calibri" w:eastAsia="Calibri" w:hAnsi="Calibri"/>
          <w:b w:val="false"/>
          <w:bCs w:val="false"/>
          <w:i w:val="false"/>
          <w:iCs w:val="false"/>
          <w:color w:val="1C2321"/>
          <w:sz w:val="21"/>
          <w:szCs w:val="21"/>
        </w:rPr>
        <w:t xml:space="preserve">This project designs and builds a seasonal analysis system for Indian equities that corrects both problems. For every sector and every calendar month, the system computes returns relative to the Nifty 50 benchmark, isolating true sector rotation from broad market movement. Each sector-month pattern is then tested formally using a one-sample t-test against a null of zero excess return, and only patterns clearing a defined significance bar are surfaced. Surviving patterns are ranked by their t-statistic, which acts as a signal-to-noise measure, and each is mapped to a real economic driver from an India-specific event calendar. Finally, the detected patterns are re-tested out of sample: patterns are discovered on an earlier portion of history and their persistence is measured on later years the discovery process never saw.</w:t>
      </w:r>
    </w:p>
    <w:p>
      <w:pPr>
        <w:spacing w:after="110" w:line="276"/>
        <w:jc w:val="both"/>
      </w:pPr>
      <w:r>
        <w:rPr>
          <w:rFonts w:ascii="Calibri" w:cs="Calibri" w:eastAsia="Calibri" w:hAnsi="Calibri"/>
          <w:b w:val="false"/>
          <w:bCs w:val="false"/>
          <w:i w:val="false"/>
          <w:iCs w:val="false"/>
          <w:color w:val="1C2321"/>
          <w:sz w:val="21"/>
          <w:szCs w:val="21"/>
        </w:rPr>
        <w:t xml:space="preserve">Because a seasonal reading is only actionable in context, the seasonal engine is embedded in a wider analysis platform. The platform scores each stock on six independent factors — technical, fundamental, volumetric, sector and peer comparison, news sentiment and geopolitical exposure — combines three machine-learning models into a consensus view of whether the stock will outperform the index, ranks the stock side by side against its sector cohort, and explains external shocks through a geopolitical module grounded in official customs trade data. Every number is accompanied by the reasoning that produced it.</w:t>
      </w:r>
    </w:p>
    <w:p>
      <w:pPr>
        <w:spacing w:after="110" w:line="276"/>
        <w:jc w:val="both"/>
      </w:pPr>
      <w:r>
        <w:rPr>
          <w:rFonts w:ascii="Calibri" w:cs="Calibri" w:eastAsia="Calibri" w:hAnsi="Calibri"/>
          <w:b w:val="false"/>
          <w:bCs w:val="false"/>
          <w:i w:val="false"/>
          <w:iCs w:val="false"/>
          <w:color w:val="1C2321"/>
          <w:sz w:val="21"/>
          <w:szCs w:val="21"/>
        </w:rPr>
        <w:t xml:space="preserve">The system is delivered as a Flask backend with a React interface. It reports negative results as clearly as positive ones — where a month shows no statistically reliable pattern, the tool states that no seasonal edge exists rather than presenting noise as a recommendation. An early build over eleven years of NSE data identified eleven statistically significant sector-month effects, including automobile outperformance in April and information technology underperformance in the same month, neither of which the naive averaging method distinguishes correctly.</w:t>
      </w:r>
    </w:p>
    <w:p>
      <w:pPr>
        <w:pStyle w:val="Heading2"/>
        <w:spacing w:after="90" w:before="230"/>
      </w:pPr>
      <w:r>
        <w:rPr>
          <w:rFonts w:ascii="Calibri" w:cs="Calibri" w:eastAsia="Calibri" w:hAnsi="Calibri"/>
          <w:b/>
          <w:bCs/>
          <w:color w:val="3E6B5E"/>
          <w:sz w:val="23"/>
          <w:szCs w:val="23"/>
        </w:rPr>
        <w:t xml:space="preserve">2.2 Problem Definition</w:t>
      </w:r>
    </w:p>
    <w:p>
      <w:pPr>
        <w:spacing w:after="60" w:line="276"/>
        <w:jc w:val="both"/>
      </w:pPr>
      <w:r>
        <w:rPr>
          <w:rFonts w:ascii="Calibri" w:cs="Calibri" w:eastAsia="Calibri" w:hAnsi="Calibri"/>
          <w:b w:val="false"/>
          <w:bCs w:val="false"/>
          <w:i w:val="false"/>
          <w:iCs w:val="false"/>
          <w:color w:val="1C2321"/>
          <w:sz w:val="21"/>
          <w:szCs w:val="21"/>
        </w:rPr>
        <w:t xml:space="preserve">The problem this project addresses can be stated in one sentence:</w:t>
      </w:r>
    </w:p>
    <w:p>
      <w:pPr>
        <w:pBdr>
          <w:left w:val="single" w:color="A96A28" w:sz="16" w:space="10"/>
        </w:pBdr>
        <w:shd w:fill="F1F5F3" w:color="auto" w:val="clear"/>
        <w:spacing w:after="180" w:before="90" w:line="276"/>
        <w:ind w:left="431" w:right="431"/>
      </w:pPr>
      <w:r>
        <w:rPr>
          <w:rFonts w:ascii="Calibri" w:cs="Calibri" w:eastAsia="Calibri" w:hAnsi="Calibri"/>
          <w:i/>
          <w:iCs/>
          <w:color w:val="1C2321"/>
          <w:sz w:val="21"/>
          <w:szCs w:val="21"/>
        </w:rPr>
        <w:t xml:space="preserve">Existing seasonal analysis of Indian equities cannot distinguish a real, repeatable sector pattern from market-wide movement or from statistical noise, and presents its output without the surrounding context — technical condition, fundamentals, peer standing, news and external shocks — that a reader would need to act on it responsibly.</w:t>
      </w:r>
    </w:p>
    <w:p>
      <w:pPr>
        <w:pStyle w:val="Heading3"/>
        <w:spacing w:after="70" w:before="165"/>
      </w:pPr>
      <w:r>
        <w:rPr>
          <w:rFonts w:ascii="Calibri" w:cs="Calibri" w:eastAsia="Calibri" w:hAnsi="Calibri"/>
          <w:b/>
          <w:bCs/>
          <w:color w:val="A96A28"/>
          <w:sz w:val="21"/>
          <w:szCs w:val="21"/>
        </w:rPr>
        <w:t xml:space="preserve">The gap, broken down</w:t>
      </w:r>
    </w:p>
    <w:p>
      <w:pPr>
        <w:pStyle w:val="ListParagraph"/>
        <w:numPr>
          <w:ilvl w:val="0"/>
          <w:numId w:val="2"/>
        </w:numPr>
        <w:spacing w:after="70" w:line="276"/>
      </w:pPr>
      <w:r>
        <w:rPr>
          <w:rFonts w:ascii="Calibri" w:cs="Calibri" w:eastAsia="Calibri" w:hAnsi="Calibri"/>
          <w:b/>
          <w:bCs/>
          <w:i w:val="false"/>
          <w:iCs w:val="false"/>
          <w:color w:val="1C2321"/>
          <w:sz w:val="21"/>
          <w:szCs w:val="21"/>
        </w:rPr>
        <w:t xml:space="preserve">Confounded measurement.</w:t>
      </w:r>
      <w:r>
        <w:rPr>
          <w:rFonts w:ascii="Calibri" w:cs="Calibri" w:eastAsia="Calibri" w:hAnsi="Calibri"/>
          <w:b w:val="false"/>
          <w:bCs w:val="false"/>
          <w:i w:val="false"/>
          <w:iCs w:val="false"/>
          <w:color w:val="1C2321"/>
          <w:sz w:val="21"/>
          <w:szCs w:val="21"/>
        </w:rPr>
        <w:t xml:space="preserve"> Raw monthly averages mix sector behaviour with market behaviour. Every sector appears to peak in the same months as the index.</w:t>
      </w:r>
    </w:p>
    <w:p>
      <w:pPr>
        <w:pStyle w:val="ListParagraph"/>
        <w:numPr>
          <w:ilvl w:val="0"/>
          <w:numId w:val="2"/>
        </w:numPr>
        <w:spacing w:after="70" w:line="276"/>
      </w:pPr>
      <w:r>
        <w:rPr>
          <w:rFonts w:ascii="Calibri" w:cs="Calibri" w:eastAsia="Calibri" w:hAnsi="Calibri"/>
          <w:b/>
          <w:bCs/>
          <w:i w:val="false"/>
          <w:iCs w:val="false"/>
          <w:color w:val="1C2321"/>
          <w:sz w:val="21"/>
          <w:szCs w:val="21"/>
        </w:rPr>
        <w:t xml:space="preserve">Absent significance testing.</w:t>
      </w:r>
      <w:r>
        <w:rPr>
          <w:rFonts w:ascii="Calibri" w:cs="Calibri" w:eastAsia="Calibri" w:hAnsi="Calibri"/>
          <w:b w:val="false"/>
          <w:bCs w:val="false"/>
          <w:i w:val="false"/>
          <w:iCs w:val="false"/>
          <w:color w:val="1C2321"/>
          <w:sz w:val="21"/>
          <w:szCs w:val="21"/>
        </w:rPr>
        <w:t xml:space="preserve"> A ten-year monthly study has roughly ten observations per cell. Without a test, differences well within sampling error are reported as findings.</w:t>
      </w:r>
    </w:p>
    <w:p>
      <w:pPr>
        <w:pStyle w:val="ListParagraph"/>
        <w:numPr>
          <w:ilvl w:val="0"/>
          <w:numId w:val="2"/>
        </w:numPr>
        <w:spacing w:after="70" w:line="276"/>
      </w:pPr>
      <w:r>
        <w:rPr>
          <w:rFonts w:ascii="Calibri" w:cs="Calibri" w:eastAsia="Calibri" w:hAnsi="Calibri"/>
          <w:b/>
          <w:bCs/>
          <w:i w:val="false"/>
          <w:iCs w:val="false"/>
          <w:color w:val="1C2321"/>
          <w:sz w:val="21"/>
          <w:szCs w:val="21"/>
        </w:rPr>
        <w:t xml:space="preserve">Unmanaged multiple testing.</w:t>
      </w:r>
      <w:r>
        <w:rPr>
          <w:rFonts w:ascii="Calibri" w:cs="Calibri" w:eastAsia="Calibri" w:hAnsi="Calibri"/>
          <w:b w:val="false"/>
          <w:bCs w:val="false"/>
          <w:i w:val="false"/>
          <w:iCs w:val="false"/>
          <w:color w:val="1C2321"/>
          <w:sz w:val="21"/>
          <w:szCs w:val="21"/>
        </w:rPr>
        <w:t xml:space="preserve"> Ten sectors times twelve months is 120 simultaneous tests. At a 10% significance level, about twelve will appear significant by chance alone. Published tools do not acknowledge this.</w:t>
      </w:r>
    </w:p>
    <w:p>
      <w:pPr>
        <w:pStyle w:val="ListParagraph"/>
        <w:numPr>
          <w:ilvl w:val="0"/>
          <w:numId w:val="2"/>
        </w:numPr>
        <w:spacing w:after="70" w:line="276"/>
      </w:pPr>
      <w:r>
        <w:rPr>
          <w:rFonts w:ascii="Calibri" w:cs="Calibri" w:eastAsia="Calibri" w:hAnsi="Calibri"/>
          <w:b/>
          <w:bCs/>
          <w:i w:val="false"/>
          <w:iCs w:val="false"/>
          <w:color w:val="1C2321"/>
          <w:sz w:val="21"/>
          <w:szCs w:val="21"/>
        </w:rPr>
        <w:t xml:space="preserve">No out-of-sample check.</w:t>
      </w:r>
      <w:r>
        <w:rPr>
          <w:rFonts w:ascii="Calibri" w:cs="Calibri" w:eastAsia="Calibri" w:hAnsi="Calibri"/>
          <w:b w:val="false"/>
          <w:bCs w:val="false"/>
          <w:i w:val="false"/>
          <w:iCs w:val="false"/>
          <w:color w:val="1C2321"/>
          <w:sz w:val="21"/>
          <w:szCs w:val="21"/>
        </w:rPr>
        <w:t xml:space="preserve"> Patterns are reported from the same data used to find them, which is the definition of in-sample curve fitting.</w:t>
      </w:r>
    </w:p>
    <w:p>
      <w:pPr>
        <w:pStyle w:val="ListParagraph"/>
        <w:numPr>
          <w:ilvl w:val="0"/>
          <w:numId w:val="2"/>
        </w:numPr>
        <w:spacing w:after="70" w:line="276"/>
      </w:pPr>
      <w:r>
        <w:rPr>
          <w:rFonts w:ascii="Calibri" w:cs="Calibri" w:eastAsia="Calibri" w:hAnsi="Calibri"/>
          <w:b/>
          <w:bCs/>
          <w:i w:val="false"/>
          <w:iCs w:val="false"/>
          <w:color w:val="1C2321"/>
          <w:sz w:val="21"/>
          <w:szCs w:val="21"/>
        </w:rPr>
        <w:t xml:space="preserve">No economic explanation.</w:t>
      </w:r>
      <w:r>
        <w:rPr>
          <w:rFonts w:ascii="Calibri" w:cs="Calibri" w:eastAsia="Calibri" w:hAnsi="Calibri"/>
          <w:b w:val="false"/>
          <w:bCs w:val="false"/>
          <w:i w:val="false"/>
          <w:iCs w:val="false"/>
          <w:color w:val="1C2321"/>
          <w:sz w:val="21"/>
          <w:szCs w:val="21"/>
        </w:rPr>
        <w:t xml:space="preserve"> A pattern with no plausible cause is far more likely to be an artefact. Existing tools do not attach a driver to a detected pattern.</w:t>
      </w:r>
    </w:p>
    <w:p>
      <w:pPr>
        <w:pStyle w:val="ListParagraph"/>
        <w:numPr>
          <w:ilvl w:val="0"/>
          <w:numId w:val="2"/>
        </w:numPr>
        <w:spacing w:after="70" w:line="276"/>
      </w:pPr>
      <w:r>
        <w:rPr>
          <w:rFonts w:ascii="Calibri" w:cs="Calibri" w:eastAsia="Calibri" w:hAnsi="Calibri"/>
          <w:b/>
          <w:bCs/>
          <w:i w:val="false"/>
          <w:iCs w:val="false"/>
          <w:color w:val="1C2321"/>
          <w:sz w:val="21"/>
          <w:szCs w:val="21"/>
        </w:rPr>
        <w:t xml:space="preserve">No surrounding context.</w:t>
      </w:r>
      <w:r>
        <w:rPr>
          <w:rFonts w:ascii="Calibri" w:cs="Calibri" w:eastAsia="Calibri" w:hAnsi="Calibri"/>
          <w:b w:val="false"/>
          <w:bCs w:val="false"/>
          <w:i w:val="false"/>
          <w:iCs w:val="false"/>
          <w:color w:val="1C2321"/>
          <w:sz w:val="21"/>
          <w:szCs w:val="21"/>
        </w:rPr>
        <w:t xml:space="preserve"> A seasonal tailwind means little if the stock is technically broken, expensive on fundamentals, the worst performer in its sector, or directly exposed to an active external shock.</w:t>
      </w:r>
    </w:p>
    <w:p>
      <w:pPr>
        <w:pStyle w:val="Heading3"/>
        <w:spacing w:after="70" w:before="165"/>
      </w:pPr>
      <w:r>
        <w:rPr>
          <w:rFonts w:ascii="Calibri" w:cs="Calibri" w:eastAsia="Calibri" w:hAnsi="Calibri"/>
          <w:b/>
          <w:bCs/>
          <w:color w:val="A96A28"/>
          <w:sz w:val="21"/>
          <w:szCs w:val="21"/>
        </w:rPr>
        <w:t xml:space="preserve">Who this affects</w:t>
      </w:r>
    </w:p>
    <w:p>
      <w:pPr>
        <w:spacing w:after="110" w:line="276"/>
        <w:jc w:val="both"/>
      </w:pPr>
      <w:r>
        <w:rPr>
          <w:rFonts w:ascii="Calibri" w:cs="Calibri" w:eastAsia="Calibri" w:hAnsi="Calibri"/>
          <w:b w:val="false"/>
          <w:bCs w:val="false"/>
          <w:i w:val="false"/>
          <w:iCs w:val="false"/>
          <w:color w:val="1C2321"/>
          <w:sz w:val="21"/>
          <w:szCs w:val="21"/>
        </w:rPr>
        <w:t xml:space="preserve">Retail investors and students are the direct users. They are the group most exposed to seasonality claims and the least equipped to test them. The system is positioned as an educational and analytical tool, not as investment advice.</w:t>
      </w:r>
    </w:p>
    <w:p>
      <w:pPr>
        <w:pStyle w:val="Heading1"/>
        <w:pBdr>
          <w:bottom w:val="single" w:color="2F5D50" w:sz="8" w:space="4"/>
        </w:pBdr>
        <w:spacing w:after="150" w:before="340"/>
      </w:pPr>
      <w:r>
        <w:rPr>
          <w:rFonts w:ascii="Calibri" w:cs="Calibri" w:eastAsia="Calibri" w:hAnsi="Calibri"/>
          <w:b/>
          <w:bCs/>
          <w:color w:val="2F5D50"/>
          <w:sz w:val="27"/>
          <w:szCs w:val="27"/>
        </w:rPr>
        <w:t xml:space="preserve">3. Literature Survey</w:t>
      </w:r>
    </w:p>
    <w:p>
      <w:pPr>
        <w:pStyle w:val="Heading2"/>
        <w:spacing w:after="90" w:before="230"/>
      </w:pPr>
      <w:r>
        <w:rPr>
          <w:rFonts w:ascii="Calibri" w:cs="Calibri" w:eastAsia="Calibri" w:hAnsi="Calibri"/>
          <w:b/>
          <w:bCs/>
          <w:color w:val="3E6B5E"/>
          <w:sz w:val="23"/>
          <w:szCs w:val="23"/>
        </w:rPr>
        <w:t xml:space="preserve">3.1 Domains Explored</w:t>
      </w:r>
    </w:p>
    <w:p>
      <w:pPr>
        <w:spacing w:after="110" w:line="276"/>
        <w:jc w:val="both"/>
      </w:pPr>
      <w:r>
        <w:rPr>
          <w:rFonts w:ascii="Calibri" w:cs="Calibri" w:eastAsia="Calibri" w:hAnsi="Calibri"/>
          <w:b w:val="false"/>
          <w:bCs w:val="false"/>
          <w:i w:val="false"/>
          <w:iCs w:val="false"/>
          <w:color w:val="1C2321"/>
          <w:sz w:val="21"/>
          <w:szCs w:val="21"/>
        </w:rPr>
        <w:t xml:space="preserve">The project sits at the intersection of three research areas. Reading was organised under these three headings, and fifteen papers published from 2020 onward were reviewed.</w:t>
      </w:r>
    </w:p>
    <w:tbl>
      <w:tblPr>
        <w:tblW w:type="dxa" w:w="9602"/>
        <w:tblBorders>
          <w:top w:val="single" w:color="B9C7C1" w:sz="4"/>
          <w:left w:val="single" w:color="B9C7C1" w:sz="4"/>
          <w:bottom w:val="single" w:color="B9C7C1" w:sz="4"/>
          <w:right w:val="single" w:color="B9C7C1" w:sz="4"/>
          <w:insideH w:val="single" w:color="B9C7C1" w:sz="4"/>
          <w:insideV w:val="single" w:color="B9C7C1" w:sz="4"/>
        </w:tblBorders>
      </w:tblPr>
      <w:tblGrid>
        <w:gridCol w:w="1000"/>
        <w:gridCol w:w="3100"/>
        <w:gridCol w:w="5502"/>
      </w:tblGrid>
      <w:tr>
        <w:trPr>
          <w:tblHeader/>
        </w:trPr>
        <w:tc>
          <w:tcPr>
            <w:tcW w:type="dxa" w:w="1000"/>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20"/>
                <w:szCs w:val="20"/>
              </w:rPr>
              <w:t xml:space="preserve">Domain</w:t>
            </w:r>
          </w:p>
        </w:tc>
        <w:tc>
          <w:tcPr>
            <w:tcW w:type="dxa" w:w="3100"/>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20"/>
                <w:szCs w:val="20"/>
              </w:rPr>
              <w:t xml:space="preserve">Area</w:t>
            </w:r>
          </w:p>
        </w:tc>
        <w:tc>
          <w:tcPr>
            <w:tcW w:type="dxa" w:w="5502"/>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20"/>
                <w:szCs w:val="20"/>
              </w:rPr>
              <w:t xml:space="preserve">Why this project needs it</w:t>
            </w:r>
          </w:p>
        </w:tc>
      </w:tr>
      <w:tr>
        <w:trPr>
          <w:tblHeader w:val="false"/>
        </w:trPr>
        <w:tc>
          <w:tcPr>
            <w:tcW w:type="dxa" w:w="10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20"/>
                <w:szCs w:val="20"/>
              </w:rPr>
              <w:t xml:space="preserve">D1</w:t>
            </w:r>
          </w:p>
        </w:tc>
        <w:tc>
          <w:tcPr>
            <w:tcW w:type="dxa" w:w="31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20"/>
                <w:szCs w:val="20"/>
              </w:rPr>
              <w:t xml:space="preserve">Seasonality and calendar anomalies in equity markets</w:t>
            </w:r>
          </w:p>
        </w:tc>
        <w:tc>
          <w:tcPr>
            <w:tcW w:type="dxa" w:w="550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20"/>
                <w:szCs w:val="20"/>
              </w:rPr>
              <w:t xml:space="preserve">Establishes which calendar effects are documented, how they are measured, and what has already been shown for India and for other emerging markets. Defines what the system must detect.</w:t>
            </w:r>
          </w:p>
        </w:tc>
      </w:tr>
      <w:tr>
        <w:trPr>
          <w:tblHeader w:val="false"/>
        </w:trPr>
        <w:tc>
          <w:tcPr>
            <w:tcW w:type="dxa" w:w="10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20"/>
                <w:szCs w:val="20"/>
              </w:rPr>
              <w:t xml:space="preserve">D2</w:t>
            </w:r>
          </w:p>
        </w:tc>
        <w:tc>
          <w:tcPr>
            <w:tcW w:type="dxa" w:w="31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20"/>
                <w:szCs w:val="20"/>
              </w:rPr>
              <w:t xml:space="preserve">Statistical validation, multiple testing and out-of-sample persistence of market anomalies</w:t>
            </w:r>
          </w:p>
        </w:tc>
        <w:tc>
          <w:tcPr>
            <w:tcW w:type="dxa" w:w="550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20"/>
                <w:szCs w:val="20"/>
              </w:rPr>
              <w:t xml:space="preserve">Provides the methodology for deciding whether a detected pattern is real. This is the domain that separates this project from a charting tool.</w:t>
            </w:r>
          </w:p>
        </w:tc>
      </w:tr>
      <w:tr>
        <w:trPr>
          <w:tblHeader w:val="false"/>
        </w:trPr>
        <w:tc>
          <w:tcPr>
            <w:tcW w:type="dxa" w:w="10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20"/>
                <w:szCs w:val="20"/>
              </w:rPr>
              <w:t xml:space="preserve">D3</w:t>
            </w:r>
          </w:p>
        </w:tc>
        <w:tc>
          <w:tcPr>
            <w:tcW w:type="dxa" w:w="31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20"/>
                <w:szCs w:val="20"/>
              </w:rPr>
              <w:t xml:space="preserve">Machine learning and data-driven methods for cross-sectional equity prediction and sector rotation</w:t>
            </w:r>
          </w:p>
        </w:tc>
        <w:tc>
          <w:tcPr>
            <w:tcW w:type="dxa" w:w="550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20"/>
                <w:szCs w:val="20"/>
              </w:rPr>
              <w:t xml:space="preserve">Supplies the modelling and evaluation discipline for the machine-learning consensus layer, and documents realistic expectations for how much predictability actually exists.</w:t>
            </w:r>
          </w:p>
        </w:tc>
      </w:tr>
    </w:tbl>
    <w:p>
      <w:pPr>
        <w:spacing w:after="200" w:before="60"/>
      </w:pPr>
      <w:r>
        <w:rPr>
          <w:rFonts w:ascii="Calibri" w:cs="Calibri" w:eastAsia="Calibri" w:hAnsi="Calibri"/>
          <w:i/>
          <w:iCs/>
          <w:color w:val="5E6B66"/>
          <w:sz w:val="18"/>
          <w:szCs w:val="18"/>
        </w:rPr>
        <w:t xml:space="preserve">Table 3.1 — The three literature domains and their role in the project.</w:t>
      </w:r>
    </w:p>
    <w:p>
      <w:pPr>
        <w:pStyle w:val="Heading2"/>
        <w:spacing w:after="90" w:before="230"/>
      </w:pPr>
      <w:r>
        <w:rPr>
          <w:rFonts w:ascii="Calibri" w:cs="Calibri" w:eastAsia="Calibri" w:hAnsi="Calibri"/>
          <w:b/>
          <w:bCs/>
          <w:color w:val="3E6B5E"/>
          <w:sz w:val="23"/>
          <w:szCs w:val="23"/>
        </w:rPr>
        <w:t xml:space="preserve">3.2 Survey of Selected Papers</w:t>
      </w:r>
    </w:p>
    <w:p>
      <w:pPr>
        <w:spacing w:after="110" w:line="276"/>
        <w:jc w:val="both"/>
      </w:pPr>
      <w:r>
        <w:rPr>
          <w:rFonts w:ascii="Calibri" w:cs="Calibri" w:eastAsia="Calibri" w:hAnsi="Calibri"/>
          <w:b w:val="false"/>
          <w:bCs w:val="false"/>
          <w:i w:val="false"/>
          <w:iCs w:val="false"/>
          <w:color w:val="1C2321"/>
          <w:sz w:val="21"/>
          <w:szCs w:val="21"/>
        </w:rPr>
        <w:t xml:space="preserve">Fifteen papers from 2020 onward were selected, weighted towards high-ranking finance journals (The Journal of Finance, Journal of Financial Economics, Review of Financial Studies, Management Science) with India-specific and emerging-market evidence included where it is directly relevant.</w:t>
      </w:r>
    </w:p>
    <w:p>
      <w:pPr>
        <w:pStyle w:val="Heading3"/>
        <w:spacing w:after="70" w:before="165"/>
      </w:pPr>
      <w:r>
        <w:rPr>
          <w:rFonts w:ascii="Calibri" w:cs="Calibri" w:eastAsia="Calibri" w:hAnsi="Calibri"/>
          <w:b/>
          <w:bCs/>
          <w:color w:val="A96A28"/>
          <w:sz w:val="21"/>
          <w:szCs w:val="21"/>
        </w:rPr>
        <w:t xml:space="preserve">Domain 1 — Seasonality and Calendar Anomalies in Equity Markets</w:t>
      </w:r>
    </w:p>
    <w:tbl>
      <w:tblPr>
        <w:tblW w:type="dxa" w:w="9602"/>
        <w:tblBorders>
          <w:top w:val="single" w:color="B9C7C1" w:sz="4"/>
          <w:left w:val="single" w:color="B9C7C1" w:sz="4"/>
          <w:bottom w:val="single" w:color="B9C7C1" w:sz="4"/>
          <w:right w:val="single" w:color="B9C7C1" w:sz="4"/>
          <w:insideH w:val="single" w:color="B9C7C1" w:sz="4"/>
          <w:insideV w:val="single" w:color="B9C7C1" w:sz="4"/>
        </w:tblBorders>
      </w:tblPr>
      <w:tblGrid>
        <w:gridCol w:w="500"/>
        <w:gridCol w:w="2000"/>
        <w:gridCol w:w="3350"/>
        <w:gridCol w:w="3752"/>
      </w:tblGrid>
      <w:tr>
        <w:trPr>
          <w:tblHeader/>
        </w:trPr>
        <w:tc>
          <w:tcPr>
            <w:tcW w:type="dxa" w:w="500"/>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8"/>
                <w:szCs w:val="18"/>
              </w:rPr>
              <w:t xml:space="preserve">#</w:t>
            </w:r>
          </w:p>
        </w:tc>
        <w:tc>
          <w:tcPr>
            <w:tcW w:type="dxa" w:w="2000"/>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8"/>
                <w:szCs w:val="18"/>
              </w:rPr>
              <w:t xml:space="preserve">Author (Year)</w:t>
            </w:r>
          </w:p>
        </w:tc>
        <w:tc>
          <w:tcPr>
            <w:tcW w:type="dxa" w:w="3350"/>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8"/>
                <w:szCs w:val="18"/>
              </w:rPr>
              <w:t xml:space="preserve">Title and Source / Research Contribution</w:t>
            </w:r>
          </w:p>
        </w:tc>
        <w:tc>
          <w:tcPr>
            <w:tcW w:type="dxa" w:w="3752"/>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8"/>
                <w:szCs w:val="18"/>
              </w:rPr>
              <w:t xml:space="preserve">Limitations</w:t>
            </w:r>
          </w:p>
        </w:tc>
      </w:tr>
      <w:tr>
        <w:trPr>
          <w:tblHeader w:val="false"/>
        </w:trPr>
        <w:tc>
          <w:tcPr>
            <w:tcW w:type="dxa" w:w="5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1</w:t>
            </w:r>
          </w:p>
        </w:tc>
        <w:tc>
          <w:tcPr>
            <w:tcW w:type="dxa" w:w="20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Elangovan, Irudayasamy &amp; Parayitam (2022)</w:t>
            </w:r>
          </w:p>
        </w:tc>
        <w:tc>
          <w:tcPr>
            <w:tcW w:type="dxa" w:w="335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Month-of-the-Year Effect: Empirical Evidence from Indian Stock Market — Asia-Pacific Financial Markets, 29(3)</w:t>
            </w:r>
          </w:p>
          <w:p>
            <w:pPr>
              <w:spacing w:after="0" w:line="250"/>
            </w:pPr>
            <w:r>
              <w:rPr>
                <w:rFonts w:ascii="Calibri" w:cs="Calibri" w:eastAsia="Calibri" w:hAnsi="Calibri"/>
                <w:b w:val="false"/>
                <w:bCs w:val="false"/>
                <w:color w:val="1C2321"/>
                <w:sz w:val="18"/>
                <w:szCs w:val="18"/>
              </w:rPr>
              <w:t xml:space="preserve">Tests monthly seasonality on S&amp;P BSE 500 and NIFTY 500 (2011-2021) using GARCH-family models. Finds a significant negative March effect and links it to the Union Budget cycle, showing Indian seasonality follows the financial year, not the calendar year.</w:t>
            </w:r>
          </w:p>
        </w:tc>
        <w:tc>
          <w:tcPr>
            <w:tcW w:type="dxa" w:w="375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Uses only two broad indices, so no sector-level view. Raw index returns are used, so market-wide moves are not separated from the anomaly. Explanatory power is low (adjusted R-squared 0.21).</w:t>
            </w:r>
          </w:p>
        </w:tc>
      </w:tr>
      <w:tr>
        <w:trPr>
          <w:tblHeader w:val="false"/>
        </w:trPr>
        <w:tc>
          <w:tcPr>
            <w:tcW w:type="dxa" w:w="5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2</w:t>
            </w:r>
          </w:p>
        </w:tc>
        <w:tc>
          <w:tcPr>
            <w:tcW w:type="dxa" w:w="20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Bhatia &amp; Chaudhary (2024)</w:t>
            </w:r>
          </w:p>
        </w:tc>
        <w:tc>
          <w:tcPr>
            <w:tcW w:type="dxa" w:w="335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Financial Year and Calendar Year Effects Across Indian Sectors: A Revisit from Investors Perspective — Review of Professional Management</w:t>
            </w:r>
          </w:p>
          <w:p>
            <w:pPr>
              <w:spacing w:after="0" w:line="250"/>
            </w:pPr>
            <w:r>
              <w:rPr>
                <w:rFonts w:ascii="Calibri" w:cs="Calibri" w:eastAsia="Calibri" w:hAnsi="Calibri"/>
                <w:b w:val="false"/>
                <w:bCs w:val="false"/>
                <w:color w:val="1C2321"/>
                <w:sz w:val="18"/>
                <w:szCs w:val="18"/>
              </w:rPr>
              <w:t xml:space="preserve">Compares calendar-year and financial-year seasonality across Indian sector indices and reports that sector effects differ from index-level effects, supporting a sector-wise rather than market-wide treatment of Indian seasonality.</w:t>
            </w:r>
          </w:p>
        </w:tc>
        <w:tc>
          <w:tcPr>
            <w:tcW w:type="dxa" w:w="375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Reports raw sector returns without benchmark adjustment. No correction for testing many sector-month combinations at once, and no out-of-sample check.</w:t>
            </w:r>
          </w:p>
        </w:tc>
      </w:tr>
      <w:tr>
        <w:trPr>
          <w:tblHeader w:val="false"/>
        </w:trPr>
        <w:tc>
          <w:tcPr>
            <w:tcW w:type="dxa" w:w="5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3</w:t>
            </w:r>
          </w:p>
        </w:tc>
        <w:tc>
          <w:tcPr>
            <w:tcW w:type="dxa" w:w="20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Valadkhani &amp; O'Mahony (2024)</w:t>
            </w:r>
          </w:p>
        </w:tc>
        <w:tc>
          <w:tcPr>
            <w:tcW w:type="dxa" w:w="335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Sector-specific calendar anomalies in the US equity market — International Review of Financial Analysis, 95</w:t>
            </w:r>
          </w:p>
          <w:p>
            <w:pPr>
              <w:spacing w:after="0" w:line="250"/>
            </w:pPr>
            <w:r>
              <w:rPr>
                <w:rFonts w:ascii="Calibri" w:cs="Calibri" w:eastAsia="Calibri" w:hAnsi="Calibri"/>
                <w:b w:val="false"/>
                <w:bCs w:val="false"/>
                <w:color w:val="1C2321"/>
                <w:sz w:val="18"/>
                <w:szCs w:val="18"/>
              </w:rPr>
              <w:t xml:space="preserve">Documents month-of-year effects separately for eleven S&amp;P 500 sector indices and shows the calendar pattern is sector-dependent. Maps each anomaly to tradable sector ETFs, making the finding directly implementable.</w:t>
            </w:r>
          </w:p>
        </w:tc>
        <w:tc>
          <w:tcPr>
            <w:tcW w:type="dxa" w:w="375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Evidence is US-only, so the drivers (tax-loss selling, US fiscal calendar) do not transfer to India. Uses absolute sector returns rather than excess-over-market returns.</w:t>
            </w:r>
          </w:p>
        </w:tc>
      </w:tr>
      <w:tr>
        <w:trPr>
          <w:tblHeader w:val="false"/>
        </w:trPr>
        <w:tc>
          <w:tcPr>
            <w:tcW w:type="dxa" w:w="5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4</w:t>
            </w:r>
          </w:p>
        </w:tc>
        <w:tc>
          <w:tcPr>
            <w:tcW w:type="dxa" w:w="20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Shehadeh &amp; Zheng (2023)</w:t>
            </w:r>
          </w:p>
        </w:tc>
        <w:tc>
          <w:tcPr>
            <w:tcW w:type="dxa" w:w="335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Calendar anomalies in stock market returns: Evidence from Middle East countries — International Review of Economics &amp; Finance, 88</w:t>
            </w:r>
          </w:p>
          <w:p>
            <w:pPr>
              <w:spacing w:after="0" w:line="250"/>
            </w:pPr>
            <w:r>
              <w:rPr>
                <w:rFonts w:ascii="Calibri" w:cs="Calibri" w:eastAsia="Calibri" w:hAnsi="Calibri"/>
                <w:b w:val="false"/>
                <w:bCs w:val="false"/>
                <w:color w:val="1C2321"/>
                <w:sz w:val="18"/>
                <w:szCs w:val="18"/>
              </w:rPr>
              <w:t xml:space="preserve">Applies GJR-GARCH(1,1) to seven emerging Middle East markets, jointly testing day-of-week, month-of-year, turn-of-month and half-month effects. Shows anomalies survive in emerging markets after volatility clustering is modelled.</w:t>
            </w:r>
          </w:p>
        </w:tc>
        <w:tc>
          <w:tcPr>
            <w:tcW w:type="dxa" w:w="375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Anomalies are found but not economically validated — no trading cost, no holding-period or out-of-sample test. Country coverage excludes South Asia.</w:t>
            </w:r>
          </w:p>
        </w:tc>
      </w:tr>
      <w:tr>
        <w:trPr>
          <w:tblHeader w:val="false"/>
        </w:trPr>
        <w:tc>
          <w:tcPr>
            <w:tcW w:type="dxa" w:w="5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5</w:t>
            </w:r>
          </w:p>
        </w:tc>
        <w:tc>
          <w:tcPr>
            <w:tcW w:type="dxa" w:w="20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Keloharju, Linnainmaa &amp; Nyberg (2021)</w:t>
            </w:r>
          </w:p>
        </w:tc>
        <w:tc>
          <w:tcPr>
            <w:tcW w:type="dxa" w:w="335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Are return seasonalities due to risk or mispricing? — Journal of Financial Economics, 139(1)</w:t>
            </w:r>
          </w:p>
          <w:p>
            <w:pPr>
              <w:spacing w:after="0" w:line="250"/>
            </w:pPr>
            <w:r>
              <w:rPr>
                <w:rFonts w:ascii="Calibri" w:cs="Calibri" w:eastAsia="Calibri" w:hAnsi="Calibri"/>
                <w:b w:val="false"/>
                <w:bCs w:val="false"/>
                <w:color w:val="1C2321"/>
                <w:sz w:val="18"/>
                <w:szCs w:val="18"/>
              </w:rPr>
              <w:t xml:space="preserve">Shows that seasonal outperformance in one month is offset by seasonal reversals in other months, summing to roughly zero over the year. Concludes seasonality reflects temporary mispricing rather than a risk premium.</w:t>
            </w:r>
          </w:p>
        </w:tc>
        <w:tc>
          <w:tcPr>
            <w:tcW w:type="dxa" w:w="375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Theoretical and US-centric; gives no practical detection rule for a specific market. Implies any single-month edge must be validated before it is treated as persistent.</w:t>
            </w:r>
          </w:p>
        </w:tc>
      </w:tr>
    </w:tbl>
    <w:p>
      <w:pPr>
        <w:pageBreakBefore/>
      </w:pPr>
    </w:p>
    <w:p>
      <w:pPr>
        <w:pStyle w:val="Heading3"/>
        <w:spacing w:after="70" w:before="165"/>
      </w:pPr>
      <w:r>
        <w:rPr>
          <w:rFonts w:ascii="Calibri" w:cs="Calibri" w:eastAsia="Calibri" w:hAnsi="Calibri"/>
          <w:b/>
          <w:bCs/>
          <w:color w:val="A96A28"/>
          <w:sz w:val="21"/>
          <w:szCs w:val="21"/>
        </w:rPr>
        <w:t xml:space="preserve">Domain 2 — Statistical Validation, Multiple Testing and Out-of-Sample Persistence</w:t>
      </w:r>
    </w:p>
    <w:tbl>
      <w:tblPr>
        <w:tblW w:type="dxa" w:w="9602"/>
        <w:tblBorders>
          <w:top w:val="single" w:color="B9C7C1" w:sz="4"/>
          <w:left w:val="single" w:color="B9C7C1" w:sz="4"/>
          <w:bottom w:val="single" w:color="B9C7C1" w:sz="4"/>
          <w:right w:val="single" w:color="B9C7C1" w:sz="4"/>
          <w:insideH w:val="single" w:color="B9C7C1" w:sz="4"/>
          <w:insideV w:val="single" w:color="B9C7C1" w:sz="4"/>
        </w:tblBorders>
      </w:tblPr>
      <w:tblGrid>
        <w:gridCol w:w="500"/>
        <w:gridCol w:w="2000"/>
        <w:gridCol w:w="3350"/>
        <w:gridCol w:w="3752"/>
      </w:tblGrid>
      <w:tr>
        <w:trPr>
          <w:tblHeader/>
        </w:trPr>
        <w:tc>
          <w:tcPr>
            <w:tcW w:type="dxa" w:w="500"/>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8"/>
                <w:szCs w:val="18"/>
              </w:rPr>
              <w:t xml:space="preserve">#</w:t>
            </w:r>
          </w:p>
        </w:tc>
        <w:tc>
          <w:tcPr>
            <w:tcW w:type="dxa" w:w="2000"/>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8"/>
                <w:szCs w:val="18"/>
              </w:rPr>
              <w:t xml:space="preserve">Author (Year)</w:t>
            </w:r>
          </w:p>
        </w:tc>
        <w:tc>
          <w:tcPr>
            <w:tcW w:type="dxa" w:w="3350"/>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8"/>
                <w:szCs w:val="18"/>
              </w:rPr>
              <w:t xml:space="preserve">Title and Source / Research Contribution</w:t>
            </w:r>
          </w:p>
        </w:tc>
        <w:tc>
          <w:tcPr>
            <w:tcW w:type="dxa" w:w="3752"/>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8"/>
                <w:szCs w:val="18"/>
              </w:rPr>
              <w:t xml:space="preserve">Limitations</w:t>
            </w:r>
          </w:p>
        </w:tc>
      </w:tr>
      <w:tr>
        <w:trPr>
          <w:tblHeader w:val="false"/>
        </w:trPr>
        <w:tc>
          <w:tcPr>
            <w:tcW w:type="dxa" w:w="5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6</w:t>
            </w:r>
          </w:p>
        </w:tc>
        <w:tc>
          <w:tcPr>
            <w:tcW w:type="dxa" w:w="20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Harvey &amp; Liu (2020)</w:t>
            </w:r>
          </w:p>
        </w:tc>
        <w:tc>
          <w:tcPr>
            <w:tcW w:type="dxa" w:w="335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False (and Missed) Discoveries in Financial Economics — The Journal of Finance, 75(5)</w:t>
            </w:r>
          </w:p>
          <w:p>
            <w:pPr>
              <w:spacing w:after="0" w:line="250"/>
            </w:pPr>
            <w:r>
              <w:rPr>
                <w:rFonts w:ascii="Calibri" w:cs="Calibri" w:eastAsia="Calibri" w:hAnsi="Calibri"/>
                <w:b w:val="false"/>
                <w:bCs w:val="false"/>
                <w:color w:val="1C2321"/>
                <w:sz w:val="18"/>
                <w:szCs w:val="18"/>
              </w:rPr>
              <w:t xml:space="preserve">Provides a double-bootstrap method to set t-statistic hurdles that control the false discovery rate when many candidate signals are tested, and balances false discoveries against missed ones.</w:t>
            </w:r>
          </w:p>
        </w:tc>
        <w:tc>
          <w:tcPr>
            <w:tcW w:type="dxa" w:w="375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Method is computationally heavy and demonstrated on factor and fund selection, not on calendar seasonality, where each month has very few annual observations.</w:t>
            </w:r>
          </w:p>
        </w:tc>
      </w:tr>
      <w:tr>
        <w:trPr>
          <w:tblHeader w:val="false"/>
        </w:trPr>
        <w:tc>
          <w:tcPr>
            <w:tcW w:type="dxa" w:w="5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7</w:t>
            </w:r>
          </w:p>
        </w:tc>
        <w:tc>
          <w:tcPr>
            <w:tcW w:type="dxa" w:w="20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Hou, Xue &amp; Zhang (2020)</w:t>
            </w:r>
          </w:p>
        </w:tc>
        <w:tc>
          <w:tcPr>
            <w:tcW w:type="dxa" w:w="335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Replicating Anomalies — The Review of Financial Studies, 33(5)</w:t>
            </w:r>
          </w:p>
          <w:p>
            <w:pPr>
              <w:spacing w:after="0" w:line="250"/>
            </w:pPr>
            <w:r>
              <w:rPr>
                <w:rFonts w:ascii="Calibri" w:cs="Calibri" w:eastAsia="Calibri" w:hAnsi="Calibri"/>
                <w:b w:val="false"/>
                <w:bCs w:val="false"/>
                <w:color w:val="1C2321"/>
                <w:sz w:val="18"/>
                <w:szCs w:val="18"/>
              </w:rPr>
              <w:t xml:space="preserve">Replicates 452 published anomalies under a uniform protocol. Roughly 65% fail a simple t &gt; 1.96 bar and 82% fail a multiple-testing bar of 2.78, establishing that most published edges are fragile.</w:t>
            </w:r>
          </w:p>
        </w:tc>
        <w:tc>
          <w:tcPr>
            <w:tcW w:type="dxa" w:w="375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Focuses on cross-sectional factors, not seasonal patterns. Uses value-weighted US data, so conclusions are not automatically true for Indian sector indices.</w:t>
            </w:r>
          </w:p>
        </w:tc>
      </w:tr>
      <w:tr>
        <w:trPr>
          <w:tblHeader w:val="false"/>
        </w:trPr>
        <w:tc>
          <w:tcPr>
            <w:tcW w:type="dxa" w:w="5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8</w:t>
            </w:r>
          </w:p>
        </w:tc>
        <w:tc>
          <w:tcPr>
            <w:tcW w:type="dxa" w:w="20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Chen (2021)</w:t>
            </w:r>
          </w:p>
        </w:tc>
        <w:tc>
          <w:tcPr>
            <w:tcW w:type="dxa" w:w="335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The Limits of p-Hacking: Some Thought Experiments — The Journal of Finance, 76(5)</w:t>
            </w:r>
          </w:p>
          <w:p>
            <w:pPr>
              <w:spacing w:after="0" w:line="250"/>
            </w:pPr>
            <w:r>
              <w:rPr>
                <w:rFonts w:ascii="Calibri" w:cs="Calibri" w:eastAsia="Calibri" w:hAnsi="Calibri"/>
                <w:b w:val="false"/>
                <w:bCs w:val="false"/>
                <w:color w:val="1C2321"/>
                <w:sz w:val="18"/>
                <w:szCs w:val="18"/>
              </w:rPr>
              <w:t xml:space="preserve">Shows through calibrated experiments that p-hacking alone cannot generate the distribution of published anomaly t-statistics, so some documented effects are genuine. Gives a way to judge how much of a finding is real.</w:t>
            </w:r>
          </w:p>
        </w:tc>
        <w:tc>
          <w:tcPr>
            <w:tcW w:type="dxa" w:w="375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Argument is statistical rather than a usable test procedure. Does not address short-sample, low-observation settings such as monthly seasonality.</w:t>
            </w:r>
          </w:p>
        </w:tc>
      </w:tr>
      <w:tr>
        <w:trPr>
          <w:tblHeader w:val="false"/>
        </w:trPr>
        <w:tc>
          <w:tcPr>
            <w:tcW w:type="dxa" w:w="5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9</w:t>
            </w:r>
          </w:p>
        </w:tc>
        <w:tc>
          <w:tcPr>
            <w:tcW w:type="dxa" w:w="20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Jensen, Kelly &amp; Pedersen (2023)</w:t>
            </w:r>
          </w:p>
        </w:tc>
        <w:tc>
          <w:tcPr>
            <w:tcW w:type="dxa" w:w="335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Is There a Replication Crisis in Finance? — The Journal of Finance, 78(5)</w:t>
            </w:r>
          </w:p>
          <w:p>
            <w:pPr>
              <w:spacing w:after="0" w:line="250"/>
            </w:pPr>
            <w:r>
              <w:rPr>
                <w:rFonts w:ascii="Calibri" w:cs="Calibri" w:eastAsia="Calibri" w:hAnsi="Calibri"/>
                <w:b w:val="false"/>
                <w:bCs w:val="false"/>
                <w:color w:val="1C2321"/>
                <w:sz w:val="18"/>
                <w:szCs w:val="18"/>
              </w:rPr>
              <w:t xml:space="preserve">Builds a Bayesian, hierarchical replication framework over 153 factors and 93 countries. Finds most factors do replicate when tested jointly, and that out-of-country evidence is the strongest reliability check.</w:t>
            </w:r>
          </w:p>
        </w:tc>
        <w:tc>
          <w:tcPr>
            <w:tcW w:type="dxa" w:w="375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Requires a large panel of related signals for the hierarchical model to work; not applicable to a small set of sector-month cells in a single market.</w:t>
            </w:r>
          </w:p>
        </w:tc>
      </w:tr>
      <w:tr>
        <w:trPr>
          <w:tblHeader w:val="false"/>
        </w:trPr>
        <w:tc>
          <w:tcPr>
            <w:tcW w:type="dxa" w:w="5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10</w:t>
            </w:r>
          </w:p>
        </w:tc>
        <w:tc>
          <w:tcPr>
            <w:tcW w:type="dxa" w:w="20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Zakamulin (2026)</w:t>
            </w:r>
          </w:p>
        </w:tc>
        <w:tc>
          <w:tcPr>
            <w:tcW w:type="dxa" w:w="335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Calendar anomalies: Real patterns or data-mining artifacts? — The North American Journal of Economics and Finance, 82</w:t>
            </w:r>
          </w:p>
          <w:p>
            <w:pPr>
              <w:spacing w:after="0" w:line="250"/>
            </w:pPr>
            <w:r>
              <w:rPr>
                <w:rFonts w:ascii="Calibri" w:cs="Calibri" w:eastAsia="Calibri" w:hAnsi="Calibri"/>
                <w:b w:val="false"/>
                <w:bCs w:val="false"/>
                <w:color w:val="1C2321"/>
                <w:sz w:val="18"/>
                <w:szCs w:val="18"/>
              </w:rPr>
              <w:t xml:space="preserve">Directly examines whether documented calendar effects survive corrections for data mining, and reports that most weaken sharply once the full search space of possible calendar rules is accounted for.</w:t>
            </w:r>
          </w:p>
        </w:tc>
        <w:tc>
          <w:tcPr>
            <w:tcW w:type="dxa" w:w="375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Largely a negative result — it flags the problem but offers limited guidance on which validation design to use for a live analytical tool.</w:t>
            </w:r>
          </w:p>
        </w:tc>
      </w:tr>
    </w:tbl>
    <w:p>
      <w:pPr>
        <w:pageBreakBefore/>
      </w:pPr>
    </w:p>
    <w:p>
      <w:pPr>
        <w:pStyle w:val="Heading3"/>
        <w:spacing w:after="70" w:before="165"/>
      </w:pPr>
      <w:r>
        <w:rPr>
          <w:rFonts w:ascii="Calibri" w:cs="Calibri" w:eastAsia="Calibri" w:hAnsi="Calibri"/>
          <w:b/>
          <w:bCs/>
          <w:color w:val="A96A28"/>
          <w:sz w:val="21"/>
          <w:szCs w:val="21"/>
        </w:rPr>
        <w:t xml:space="preserve">Domain 3 — Machine Learning and Data-Driven Cross-Sectional Equity Methods</w:t>
      </w:r>
    </w:p>
    <w:tbl>
      <w:tblPr>
        <w:tblW w:type="dxa" w:w="9602"/>
        <w:tblBorders>
          <w:top w:val="single" w:color="B9C7C1" w:sz="4"/>
          <w:left w:val="single" w:color="B9C7C1" w:sz="4"/>
          <w:bottom w:val="single" w:color="B9C7C1" w:sz="4"/>
          <w:right w:val="single" w:color="B9C7C1" w:sz="4"/>
          <w:insideH w:val="single" w:color="B9C7C1" w:sz="4"/>
          <w:insideV w:val="single" w:color="B9C7C1" w:sz="4"/>
        </w:tblBorders>
      </w:tblPr>
      <w:tblGrid>
        <w:gridCol w:w="500"/>
        <w:gridCol w:w="2000"/>
        <w:gridCol w:w="3350"/>
        <w:gridCol w:w="3752"/>
      </w:tblGrid>
      <w:tr>
        <w:trPr>
          <w:tblHeader/>
        </w:trPr>
        <w:tc>
          <w:tcPr>
            <w:tcW w:type="dxa" w:w="500"/>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8"/>
                <w:szCs w:val="18"/>
              </w:rPr>
              <w:t xml:space="preserve">#</w:t>
            </w:r>
          </w:p>
        </w:tc>
        <w:tc>
          <w:tcPr>
            <w:tcW w:type="dxa" w:w="2000"/>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8"/>
                <w:szCs w:val="18"/>
              </w:rPr>
              <w:t xml:space="preserve">Author (Year)</w:t>
            </w:r>
          </w:p>
        </w:tc>
        <w:tc>
          <w:tcPr>
            <w:tcW w:type="dxa" w:w="3350"/>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8"/>
                <w:szCs w:val="18"/>
              </w:rPr>
              <w:t xml:space="preserve">Title and Source / Research Contribution</w:t>
            </w:r>
          </w:p>
        </w:tc>
        <w:tc>
          <w:tcPr>
            <w:tcW w:type="dxa" w:w="3752"/>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8"/>
                <w:szCs w:val="18"/>
              </w:rPr>
              <w:t xml:space="preserve">Limitations</w:t>
            </w:r>
          </w:p>
        </w:tc>
      </w:tr>
      <w:tr>
        <w:trPr>
          <w:tblHeader w:val="false"/>
        </w:trPr>
        <w:tc>
          <w:tcPr>
            <w:tcW w:type="dxa" w:w="5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11</w:t>
            </w:r>
          </w:p>
        </w:tc>
        <w:tc>
          <w:tcPr>
            <w:tcW w:type="dxa" w:w="20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Gu, Kelly &amp; Xiu (2020)</w:t>
            </w:r>
          </w:p>
        </w:tc>
        <w:tc>
          <w:tcPr>
            <w:tcW w:type="dxa" w:w="335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Empirical Asset Pricing via Machine Learning — The Review of Financial Studies, 33(5)</w:t>
            </w:r>
          </w:p>
          <w:p>
            <w:pPr>
              <w:spacing w:after="0" w:line="250"/>
            </w:pPr>
            <w:r>
              <w:rPr>
                <w:rFonts w:ascii="Calibri" w:cs="Calibri" w:eastAsia="Calibri" w:hAnsi="Calibri"/>
                <w:b w:val="false"/>
                <w:bCs w:val="false"/>
                <w:color w:val="1C2321"/>
                <w:sz w:val="18"/>
                <w:szCs w:val="18"/>
              </w:rPr>
              <w:t xml:space="preserve">Benchmark comparison of linear, tree and neural models for predicting stock returns. Tree ensembles and neural nets outperform linear models, and the gains come mainly from allowing non-linear interactions.</w:t>
            </w:r>
          </w:p>
        </w:tc>
        <w:tc>
          <w:tcPr>
            <w:tcW w:type="dxa" w:w="375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Out-of-sample R-squared remains under 1% per month, showing predictability is weak. Requires very large panels and long histories to train reliably.</w:t>
            </w:r>
          </w:p>
        </w:tc>
      </w:tr>
      <w:tr>
        <w:trPr>
          <w:tblHeader w:val="false"/>
        </w:trPr>
        <w:tc>
          <w:tcPr>
            <w:tcW w:type="dxa" w:w="5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12</w:t>
            </w:r>
          </w:p>
        </w:tc>
        <w:tc>
          <w:tcPr>
            <w:tcW w:type="dxa" w:w="20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Leippold, Wang &amp; Zhou (2022)</w:t>
            </w:r>
          </w:p>
        </w:tc>
        <w:tc>
          <w:tcPr>
            <w:tcW w:type="dxa" w:w="335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Machine learning in the Chinese stock market — Journal of Financial Economics, 145(2)</w:t>
            </w:r>
          </w:p>
          <w:p>
            <w:pPr>
              <w:spacing w:after="0" w:line="250"/>
            </w:pPr>
            <w:r>
              <w:rPr>
                <w:rFonts w:ascii="Calibri" w:cs="Calibri" w:eastAsia="Calibri" w:hAnsi="Calibri"/>
                <w:b w:val="false"/>
                <w:bCs w:val="false"/>
                <w:color w:val="1C2321"/>
                <w:sz w:val="18"/>
                <w:szCs w:val="18"/>
              </w:rPr>
              <w:t xml:space="preserve">Repeats the machine-learning asset pricing exercise on an emerging market with heavy retail participation. Finds liquidity and turnover features dominate, unlike the US where valuation features dominate.</w:t>
            </w:r>
          </w:p>
        </w:tc>
        <w:tc>
          <w:tcPr>
            <w:tcW w:type="dxa" w:w="375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Results are China-specific and shaped by trading restrictions. Predictive edge shrinks substantially once transaction costs are applied.</w:t>
            </w:r>
          </w:p>
        </w:tc>
      </w:tr>
      <w:tr>
        <w:trPr>
          <w:tblHeader w:val="false"/>
        </w:trPr>
        <w:tc>
          <w:tcPr>
            <w:tcW w:type="dxa" w:w="5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13</w:t>
            </w:r>
          </w:p>
        </w:tc>
        <w:tc>
          <w:tcPr>
            <w:tcW w:type="dxa" w:w="20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Avramov, Cheng &amp; Metzker (2023)</w:t>
            </w:r>
          </w:p>
        </w:tc>
        <w:tc>
          <w:tcPr>
            <w:tcW w:type="dxa" w:w="335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Machine Learning vs. Economic Restrictions: Evidence from Stock Return Predictability — Management Science, 69(5)</w:t>
            </w:r>
          </w:p>
          <w:p>
            <w:pPr>
              <w:spacing w:after="0" w:line="250"/>
            </w:pPr>
            <w:r>
              <w:rPr>
                <w:rFonts w:ascii="Calibri" w:cs="Calibri" w:eastAsia="Calibri" w:hAnsi="Calibri"/>
                <w:b w:val="false"/>
                <w:bCs w:val="false"/>
                <w:color w:val="1C2321"/>
                <w:sz w:val="18"/>
                <w:szCs w:val="18"/>
              </w:rPr>
              <w:t xml:space="preserve">Shows machine-learning gains fall sharply once micro-caps, illiquid and distressed stocks are excluded and realistic constraints are applied, and argues economic restrictions must be imposed before believing model results.</w:t>
            </w:r>
          </w:p>
        </w:tc>
        <w:tc>
          <w:tcPr>
            <w:tcW w:type="dxa" w:w="375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Does not provide an alternative model; it is a caution on evaluation. Restrictions used are calibrated to US market structure.</w:t>
            </w:r>
          </w:p>
        </w:tc>
      </w:tr>
      <w:tr>
        <w:trPr>
          <w:tblHeader w:val="false"/>
        </w:trPr>
        <w:tc>
          <w:tcPr>
            <w:tcW w:type="dxa" w:w="5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14</w:t>
            </w:r>
          </w:p>
        </w:tc>
        <w:tc>
          <w:tcPr>
            <w:tcW w:type="dxa" w:w="20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Chen, Pelger &amp; Zhu (2024)</w:t>
            </w:r>
          </w:p>
        </w:tc>
        <w:tc>
          <w:tcPr>
            <w:tcW w:type="dxa" w:w="335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Deep Learning in Asset Pricing — Management Science, 70(2)</w:t>
            </w:r>
          </w:p>
          <w:p>
            <w:pPr>
              <w:spacing w:after="0" w:line="250"/>
            </w:pPr>
            <w:r>
              <w:rPr>
                <w:rFonts w:ascii="Calibri" w:cs="Calibri" w:eastAsia="Calibri" w:hAnsi="Calibri"/>
                <w:b w:val="false"/>
                <w:bCs w:val="false"/>
                <w:color w:val="1C2321"/>
                <w:sz w:val="18"/>
                <w:szCs w:val="18"/>
              </w:rPr>
              <w:t xml:space="preserve">Combines feed-forward, LSTM and adversarial networks with a no-arbitrage condition to estimate a stochastic discount factor, achieving the highest reported out-of-sample Sharpe ratio among comparable methods.</w:t>
            </w:r>
          </w:p>
        </w:tc>
        <w:tc>
          <w:tcPr>
            <w:tcW w:type="dxa" w:w="375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High model complexity and low interpretability, which is a problem when an end user must be told why a recommendation was made. Heavy data and compute requirements.</w:t>
            </w:r>
          </w:p>
        </w:tc>
      </w:tr>
      <w:tr>
        <w:trPr>
          <w:tblHeader w:val="false"/>
        </w:trPr>
        <w:tc>
          <w:tcPr>
            <w:tcW w:type="dxa" w:w="5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15</w:t>
            </w:r>
          </w:p>
        </w:tc>
        <w:tc>
          <w:tcPr>
            <w:tcW w:type="dxa" w:w="20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Page, McClelland &amp; Auret (2024)</w:t>
            </w:r>
          </w:p>
        </w:tc>
        <w:tc>
          <w:tcPr>
            <w:tcW w:type="dxa" w:w="335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Machine learning style rotation - evidence from the Johannesburg Stock Exchange — Cogent Economics &amp; Finance, 12(1)</w:t>
            </w:r>
          </w:p>
          <w:p>
            <w:pPr>
              <w:spacing w:after="0" w:line="250"/>
            </w:pPr>
            <w:r>
              <w:rPr>
                <w:rFonts w:ascii="Calibri" w:cs="Calibri" w:eastAsia="Calibri" w:hAnsi="Calibri"/>
                <w:b w:val="false"/>
                <w:bCs w:val="false"/>
                <w:color w:val="1C2321"/>
                <w:sz w:val="18"/>
                <w:szCs w:val="18"/>
              </w:rPr>
              <w:t xml:space="preserve">Applies Random Forest, XGBoost and LightGBM to time a rotation between equity styles in an emerging market, and reports that model-driven rotation signals beat simple momentum-based rotation.</w:t>
            </w:r>
          </w:p>
        </w:tc>
        <w:tc>
          <w:tcPr>
            <w:tcW w:type="dxa" w:w="375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Style rotation is tested, not calendar-driven sector rotation. Sample is a single emerging market with a limited history, and no multiple-testing correction is applied.</w:t>
            </w:r>
          </w:p>
        </w:tc>
      </w:tr>
    </w:tbl>
    <w:p>
      <w:pPr>
        <w:pStyle w:val="Heading2"/>
        <w:spacing w:after="90" w:before="230"/>
      </w:pPr>
      <w:r>
        <w:rPr>
          <w:rFonts w:ascii="Calibri" w:cs="Calibri" w:eastAsia="Calibri" w:hAnsi="Calibri"/>
          <w:b/>
          <w:bCs/>
          <w:color w:val="3E6B5E"/>
          <w:sz w:val="23"/>
          <w:szCs w:val="23"/>
        </w:rPr>
        <w:t xml:space="preserve">3.3 Research Gap Identified</w:t>
      </w:r>
    </w:p>
    <w:p>
      <w:pPr>
        <w:spacing w:after="110" w:line="276"/>
        <w:jc w:val="both"/>
      </w:pPr>
      <w:r>
        <w:rPr>
          <w:rFonts w:ascii="Calibri" w:cs="Calibri" w:eastAsia="Calibri" w:hAnsi="Calibri"/>
          <w:b w:val="false"/>
          <w:bCs w:val="false"/>
          <w:i w:val="false"/>
          <w:iCs w:val="false"/>
          <w:color w:val="1C2321"/>
          <w:sz w:val="21"/>
          <w:szCs w:val="21"/>
        </w:rPr>
        <w:t xml:space="preserve">Reading the three domains together produces a clear gap. The seasonality literature (D1) documents calendar effects but, with the exception of the theoretical work, generally measures them on raw returns and does not correct for testing many combinations at once. The validation literature (D2) has developed exactly the tools needed for that correction, but has applied them to cross-sectional factors and fund selection rather than to calendar seasonality. The machine learning literature (D3) supplies rigorous out-of-sample evaluation practice, but is aimed at general return prediction and is largely uninterpretable to an end user.</w:t>
      </w:r>
    </w:p>
    <w:p>
      <w:pPr>
        <w:spacing w:after="110" w:line="276"/>
        <w:jc w:val="both"/>
      </w:pPr>
      <w:r>
        <w:rPr>
          <w:rFonts w:ascii="Calibri" w:cs="Calibri" w:eastAsia="Calibri" w:hAnsi="Calibri"/>
          <w:b w:val="false"/>
          <w:bCs w:val="false"/>
          <w:i w:val="false"/>
          <w:iCs w:val="false"/>
          <w:color w:val="1C2321"/>
          <w:sz w:val="21"/>
          <w:szCs w:val="21"/>
        </w:rPr>
        <w:t xml:space="preserve">No reviewed work combines all three for the Indian market. Specifically, the following gap remains open:</w:t>
      </w:r>
    </w:p>
    <w:p>
      <w:pPr>
        <w:pStyle w:val="ListParagraph"/>
        <w:numPr>
          <w:ilvl w:val="0"/>
          <w:numId w:val="2"/>
        </w:numPr>
        <w:spacing w:after="70" w:line="276"/>
      </w:pPr>
      <w:r>
        <w:rPr>
          <w:rFonts w:ascii="Calibri" w:cs="Calibri" w:eastAsia="Calibri" w:hAnsi="Calibri"/>
          <w:b w:val="false"/>
          <w:bCs w:val="false"/>
          <w:i w:val="false"/>
          <w:iCs w:val="false"/>
          <w:color w:val="1C2321"/>
          <w:sz w:val="21"/>
          <w:szCs w:val="21"/>
        </w:rPr>
        <w:t xml:space="preserve">Sector-level Indian seasonality measured on benchmark-relative (excess) returns rather than raw returns.</w:t>
      </w:r>
    </w:p>
    <w:p>
      <w:pPr>
        <w:pStyle w:val="ListParagraph"/>
        <w:numPr>
          <w:ilvl w:val="0"/>
          <w:numId w:val="2"/>
        </w:numPr>
        <w:spacing w:after="70" w:line="276"/>
      </w:pPr>
      <w:r>
        <w:rPr>
          <w:rFonts w:ascii="Calibri" w:cs="Calibri" w:eastAsia="Calibri" w:hAnsi="Calibri"/>
          <w:b w:val="false"/>
          <w:bCs w:val="false"/>
          <w:i w:val="false"/>
          <w:iCs w:val="false"/>
          <w:color w:val="1C2321"/>
          <w:sz w:val="21"/>
          <w:szCs w:val="21"/>
        </w:rPr>
        <w:t xml:space="preserve">Formal significance testing of each sector-month cell, with explicit acknowledgement of the multiple-testing problem across 120 simultaneous cells.</w:t>
      </w:r>
    </w:p>
    <w:p>
      <w:pPr>
        <w:pStyle w:val="ListParagraph"/>
        <w:numPr>
          <w:ilvl w:val="0"/>
          <w:numId w:val="2"/>
        </w:numPr>
        <w:spacing w:after="70" w:line="276"/>
      </w:pPr>
      <w:r>
        <w:rPr>
          <w:rFonts w:ascii="Calibri" w:cs="Calibri" w:eastAsia="Calibri" w:hAnsi="Calibri"/>
          <w:b w:val="false"/>
          <w:bCs w:val="false"/>
          <w:i w:val="false"/>
          <w:iCs w:val="false"/>
          <w:color w:val="1C2321"/>
          <w:sz w:val="21"/>
          <w:szCs w:val="21"/>
        </w:rPr>
        <w:t xml:space="preserve">Out-of-sample persistence testing of the detected patterns, following the standard set by the replication literature.</w:t>
      </w:r>
    </w:p>
    <w:p>
      <w:pPr>
        <w:pStyle w:val="ListParagraph"/>
        <w:numPr>
          <w:ilvl w:val="0"/>
          <w:numId w:val="2"/>
        </w:numPr>
        <w:spacing w:after="70" w:line="276"/>
      </w:pPr>
      <w:r>
        <w:rPr>
          <w:rFonts w:ascii="Calibri" w:cs="Calibri" w:eastAsia="Calibri" w:hAnsi="Calibri"/>
          <w:b w:val="false"/>
          <w:bCs w:val="false"/>
          <w:i w:val="false"/>
          <w:iCs w:val="false"/>
          <w:color w:val="1C2321"/>
          <w:sz w:val="21"/>
          <w:szCs w:val="21"/>
        </w:rPr>
        <w:t xml:space="preserve">Each surviving pattern mapped to an India-specific economic driver — Budget, financial year end, monsoon, festive demand — so the finding is explainable and not merely statistical.</w:t>
      </w:r>
    </w:p>
    <w:p>
      <w:pPr>
        <w:pStyle w:val="ListParagraph"/>
        <w:numPr>
          <w:ilvl w:val="0"/>
          <w:numId w:val="2"/>
        </w:numPr>
        <w:spacing w:after="70" w:line="276"/>
      </w:pPr>
      <w:r>
        <w:rPr>
          <w:rFonts w:ascii="Calibri" w:cs="Calibri" w:eastAsia="Calibri" w:hAnsi="Calibri"/>
          <w:b w:val="false"/>
          <w:bCs w:val="false"/>
          <w:i w:val="false"/>
          <w:iCs w:val="false"/>
          <w:color w:val="1C2321"/>
          <w:sz w:val="21"/>
          <w:szCs w:val="21"/>
        </w:rPr>
        <w:t xml:space="preserve">The seasonal reading presented alongside the technical, fundamental, peer, sentiment and geopolitical context needed to interpret it.</w:t>
      </w:r>
    </w:p>
    <w:p>
      <w:pPr>
        <w:pStyle w:val="ListParagraph"/>
        <w:numPr>
          <w:ilvl w:val="0"/>
          <w:numId w:val="2"/>
        </w:numPr>
        <w:spacing w:after="70" w:line="276"/>
      </w:pPr>
      <w:r>
        <w:rPr>
          <w:rFonts w:ascii="Calibri" w:cs="Calibri" w:eastAsia="Calibri" w:hAnsi="Calibri"/>
          <w:b w:val="false"/>
          <w:bCs w:val="false"/>
          <w:i w:val="false"/>
          <w:iCs w:val="false"/>
          <w:color w:val="1C2321"/>
          <w:sz w:val="21"/>
          <w:szCs w:val="21"/>
        </w:rPr>
        <w:t xml:space="preserve">The whole method delivered as a usable, explainable interface rather than as a research paper.</w:t>
      </w:r>
    </w:p>
    <w:p>
      <w:pPr>
        <w:spacing w:after="110" w:line="276"/>
        <w:jc w:val="both"/>
      </w:pPr>
      <w:r>
        <w:rPr>
          <w:rFonts w:ascii="Calibri" w:cs="Calibri" w:eastAsia="Calibri" w:hAnsi="Calibri"/>
          <w:b w:val="false"/>
          <w:bCs w:val="false"/>
          <w:i w:val="false"/>
          <w:iCs w:val="false"/>
          <w:color w:val="1C2321"/>
          <w:sz w:val="21"/>
          <w:szCs w:val="21"/>
        </w:rPr>
        <w:t xml:space="preserve">This gap is the project.</w:t>
      </w:r>
    </w:p>
    <w:p>
      <w:pPr>
        <w:pageBreakBefore/>
      </w:pPr>
    </w:p>
    <w:p>
      <w:pPr>
        <w:pStyle w:val="Heading1"/>
        <w:pBdr>
          <w:bottom w:val="single" w:color="2F5D50" w:sz="8" w:space="4"/>
        </w:pBdr>
        <w:spacing w:after="150" w:before="340"/>
      </w:pPr>
      <w:r>
        <w:rPr>
          <w:rFonts w:ascii="Calibri" w:cs="Calibri" w:eastAsia="Calibri" w:hAnsi="Calibri"/>
          <w:b/>
          <w:bCs/>
          <w:color w:val="2F5D50"/>
          <w:sz w:val="27"/>
          <w:szCs w:val="27"/>
        </w:rPr>
        <w:t xml:space="preserve">4. Proposed System — Architecture and Modules</w:t>
      </w:r>
    </w:p>
    <w:p>
      <w:pPr>
        <w:spacing w:after="110" w:line="276"/>
        <w:jc w:val="both"/>
      </w:pPr>
      <w:r>
        <w:rPr>
          <w:rFonts w:ascii="Calibri" w:cs="Calibri" w:eastAsia="Calibri" w:hAnsi="Calibri"/>
          <w:b w:val="false"/>
          <w:bCs w:val="false"/>
          <w:i w:val="false"/>
          <w:iCs w:val="false"/>
          <w:color w:val="1C2321"/>
          <w:sz w:val="21"/>
          <w:szCs w:val="21"/>
        </w:rPr>
        <w:t xml:space="preserve">This section sets out the system the project proposes to design and build. The seasonal engine is the research core; the surrounding modules exist because a seasonal signal read in isolation is not actionable. The architecture is deliberately modular so that each module can be developed, tested and — critically — validated on its own.</w:t>
      </w:r>
    </w:p>
    <w:p>
      <w:pPr>
        <w:pStyle w:val="Heading2"/>
        <w:spacing w:after="90" w:before="230"/>
      </w:pPr>
      <w:r>
        <w:rPr>
          <w:rFonts w:ascii="Calibri" w:cs="Calibri" w:eastAsia="Calibri" w:hAnsi="Calibri"/>
          <w:b/>
          <w:bCs/>
          <w:color w:val="3E6B5E"/>
          <w:sz w:val="23"/>
          <w:szCs w:val="23"/>
        </w:rPr>
        <w:t xml:space="preserve">4.1 Architecture</w:t>
      </w:r>
    </w:p>
    <w:p>
      <w:pPr>
        <w:spacing w:after="110" w:line="276"/>
        <w:jc w:val="both"/>
      </w:pPr>
      <w:r>
        <w:rPr>
          <w:rFonts w:ascii="Calibri" w:cs="Calibri" w:eastAsia="Calibri" w:hAnsi="Calibri"/>
          <w:b w:val="false"/>
          <w:bCs w:val="false"/>
          <w:i w:val="false"/>
          <w:iCs w:val="false"/>
          <w:color w:val="1C2321"/>
          <w:sz w:val="21"/>
          <w:szCs w:val="21"/>
        </w:rPr>
        <w:t xml:space="preserve">The proposed system is organised as four layers. Data flows upward; explanation flows back down to the user with every result.</w:t>
      </w:r>
    </w:p>
    <w:tbl>
      <w:tblPr>
        <w:tblW w:type="dxa" w:w="9602"/>
        <w:tblBorders>
          <w:top w:val="single" w:color="B9C7C1" w:sz="4"/>
          <w:left w:val="single" w:color="B9C7C1" w:sz="4"/>
          <w:bottom w:val="single" w:color="B9C7C1" w:sz="4"/>
          <w:right w:val="single" w:color="B9C7C1" w:sz="4"/>
          <w:insideH w:val="single" w:color="B9C7C1" w:sz="4"/>
          <w:insideV w:val="single" w:color="B9C7C1" w:sz="4"/>
        </w:tblBorders>
      </w:tblPr>
      <w:tblGrid>
        <w:gridCol w:w="1900"/>
        <w:gridCol w:w="3200"/>
        <w:gridCol w:w="4502"/>
      </w:tblGrid>
      <w:tr>
        <w:trPr>
          <w:tblHeader/>
        </w:trPr>
        <w:tc>
          <w:tcPr>
            <w:tcW w:type="dxa" w:w="1900"/>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9"/>
                <w:szCs w:val="19"/>
              </w:rPr>
              <w:t xml:space="preserve">Layer</w:t>
            </w:r>
          </w:p>
        </w:tc>
        <w:tc>
          <w:tcPr>
            <w:tcW w:type="dxa" w:w="3200"/>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9"/>
                <w:szCs w:val="19"/>
              </w:rPr>
              <w:t xml:space="preserve">Responsibility</w:t>
            </w:r>
          </w:p>
        </w:tc>
        <w:tc>
          <w:tcPr>
            <w:tcW w:type="dxa" w:w="4502"/>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9"/>
                <w:szCs w:val="19"/>
              </w:rPr>
              <w:t xml:space="preserve">Proposed components</w:t>
            </w:r>
          </w:p>
        </w:tc>
      </w:tr>
      <w:tr>
        <w:trPr>
          <w:tblHeader w:val="false"/>
        </w:trPr>
        <w:tc>
          <w:tcPr>
            <w:tcW w:type="dxa" w:w="19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L1 — Data</w:t>
            </w:r>
          </w:p>
        </w:tc>
        <w:tc>
          <w:tcPr>
            <w:tcW w:type="dxa" w:w="32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Acquire, clean, align and cache all market and non-market inputs.</w:t>
            </w:r>
          </w:p>
        </w:tc>
        <w:tc>
          <w:tcPr>
            <w:tcW w:type="dxa" w:w="450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NSE price and index ingestion with fallback handling; benchmark alignment; news retrieval; official trade-statistics ingestion; on-disk caching.</w:t>
            </w:r>
          </w:p>
        </w:tc>
      </w:tr>
      <w:tr>
        <w:trPr>
          <w:tblHeader w:val="false"/>
        </w:trPr>
        <w:tc>
          <w:tcPr>
            <w:tcW w:type="dxa" w:w="19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L2 — Analysis</w:t>
            </w:r>
          </w:p>
        </w:tc>
        <w:tc>
          <w:tcPr>
            <w:tcW w:type="dxa" w:w="32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Turn raw data into independent, interpretable factor readings.</w:t>
            </w:r>
          </w:p>
        </w:tc>
        <w:tc>
          <w:tcPr>
            <w:tcW w:type="dxa" w:w="450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Technical, fundamental, volumetric, sector and peer comparison, news sentiment, geopolitical exposure, and the seasonal engine.</w:t>
            </w:r>
          </w:p>
        </w:tc>
      </w:tr>
      <w:tr>
        <w:trPr>
          <w:tblHeader w:val="false"/>
        </w:trPr>
        <w:tc>
          <w:tcPr>
            <w:tcW w:type="dxa" w:w="19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L3 — Inference</w:t>
            </w:r>
          </w:p>
        </w:tc>
        <w:tc>
          <w:tcPr>
            <w:tcW w:type="dxa" w:w="32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Combine factor readings into a consolidated view, and test whether that view holds.</w:t>
            </w:r>
          </w:p>
        </w:tc>
        <w:tc>
          <w:tcPr>
            <w:tcW w:type="dxa" w:w="450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Multi-factor scoring; three-model machine-learning consensus; portfolio construction; and the validation harness that tests all of it.</w:t>
            </w:r>
          </w:p>
        </w:tc>
      </w:tr>
      <w:tr>
        <w:trPr>
          <w:tblHeader w:val="false"/>
        </w:trPr>
        <w:tc>
          <w:tcPr>
            <w:tcW w:type="dxa" w:w="19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L4 — Delivery</w:t>
            </w:r>
          </w:p>
        </w:tc>
        <w:tc>
          <w:tcPr>
            <w:tcW w:type="dxa" w:w="32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Present the result with its reasoning, and state clearly when there is no signal.</w:t>
            </w:r>
          </w:p>
        </w:tc>
        <w:tc>
          <w:tcPr>
            <w:tcW w:type="dxa" w:w="450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Single-page interface with an Analysis view, a Seasonal view and a Geopolitical (War Room) view; per-factor explainability panels; charting.</w:t>
            </w:r>
          </w:p>
        </w:tc>
      </w:tr>
    </w:tbl>
    <w:p>
      <w:pPr>
        <w:spacing w:after="200" w:before="60"/>
      </w:pPr>
      <w:r>
        <w:rPr>
          <w:rFonts w:ascii="Calibri" w:cs="Calibri" w:eastAsia="Calibri" w:hAnsi="Calibri"/>
          <w:i/>
          <w:iCs/>
          <w:color w:val="5E6B66"/>
          <w:sz w:val="18"/>
          <w:szCs w:val="18"/>
        </w:rPr>
        <w:t xml:space="preserve">Table 4.1 — Proposed four-layer architecture.</w:t>
      </w:r>
    </w:p>
    <w:p>
      <w:pPr>
        <w:pStyle w:val="Heading2"/>
        <w:spacing w:after="90" w:before="230"/>
      </w:pPr>
      <w:r>
        <w:rPr>
          <w:rFonts w:ascii="Calibri" w:cs="Calibri" w:eastAsia="Calibri" w:hAnsi="Calibri"/>
          <w:b/>
          <w:bCs/>
          <w:color w:val="3E6B5E"/>
          <w:sz w:val="23"/>
          <w:szCs w:val="23"/>
        </w:rPr>
        <w:t xml:space="preserve">4.2 Module Catalogue</w:t>
      </w:r>
    </w:p>
    <w:p>
      <w:pPr>
        <w:spacing w:after="110" w:line="276"/>
        <w:jc w:val="both"/>
      </w:pPr>
      <w:r>
        <w:rPr>
          <w:rFonts w:ascii="Calibri" w:cs="Calibri" w:eastAsia="Calibri" w:hAnsi="Calibri"/>
          <w:b w:val="false"/>
          <w:bCs w:val="false"/>
          <w:i w:val="false"/>
          <w:iCs w:val="false"/>
          <w:color w:val="1C2321"/>
          <w:sz w:val="21"/>
          <w:szCs w:val="21"/>
        </w:rPr>
        <w:t xml:space="preserve">The following modules are proposed. The status column reflects the position at Review 1: a substantial part of the pipeline has already been prototyped, which is the basis of the feasibility argument in Section 6.</w:t>
      </w:r>
    </w:p>
    <w:tbl>
      <w:tblPr>
        <w:tblW w:type="dxa" w:w="9602"/>
        <w:tblBorders>
          <w:top w:val="single" w:color="B9C7C1" w:sz="4"/>
          <w:left w:val="single" w:color="B9C7C1" w:sz="4"/>
          <w:bottom w:val="single" w:color="B9C7C1" w:sz="4"/>
          <w:right w:val="single" w:color="B9C7C1" w:sz="4"/>
          <w:insideH w:val="single" w:color="B9C7C1" w:sz="4"/>
          <w:insideV w:val="single" w:color="B9C7C1" w:sz="4"/>
        </w:tblBorders>
      </w:tblPr>
      <w:tblGrid>
        <w:gridCol w:w="2450"/>
        <w:gridCol w:w="5652"/>
        <w:gridCol w:w="1500"/>
      </w:tblGrid>
      <w:tr>
        <w:trPr>
          <w:tblHeader/>
        </w:trPr>
        <w:tc>
          <w:tcPr>
            <w:tcW w:type="dxa" w:w="2450"/>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8"/>
                <w:szCs w:val="18"/>
              </w:rPr>
              <w:t xml:space="preserve">Module</w:t>
            </w:r>
          </w:p>
        </w:tc>
        <w:tc>
          <w:tcPr>
            <w:tcW w:type="dxa" w:w="5652"/>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8"/>
                <w:szCs w:val="18"/>
              </w:rPr>
              <w:t xml:space="preserve">Proposed function</w:t>
            </w:r>
          </w:p>
        </w:tc>
        <w:tc>
          <w:tcPr>
            <w:tcW w:type="dxa" w:w="1500"/>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8"/>
                <w:szCs w:val="18"/>
              </w:rPr>
              <w:t xml:space="preserve">Status at Review 1</w:t>
            </w:r>
          </w:p>
        </w:tc>
      </w:tr>
      <w:tr>
        <w:trPr>
          <w:tblHeader w:val="false"/>
        </w:trPr>
        <w:tc>
          <w:tcPr>
            <w:tcW w:type="dxa" w:w="245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Data ingestion</w:t>
            </w:r>
          </w:p>
        </w:tc>
        <w:tc>
          <w:tcPr>
            <w:tcW w:type="dxa" w:w="565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Retrieve daily price and volume history for NSE sector indices, their constituents and the Nifty 50 benchmark; validate, cache and handle missing series through an equal-weighted constituent basket fallback.</w:t>
            </w:r>
          </w:p>
        </w:tc>
        <w:tc>
          <w:tcPr>
            <w:tcW w:type="dxa" w:w="15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Prototyped</w:t>
            </w:r>
          </w:p>
        </w:tc>
      </w:tr>
      <w:tr>
        <w:trPr>
          <w:tblHeader w:val="false"/>
        </w:trPr>
        <w:tc>
          <w:tcPr>
            <w:tcW w:type="dxa" w:w="245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Seasonal engine (core)</w:t>
            </w:r>
          </w:p>
        </w:tc>
        <w:tc>
          <w:tcPr>
            <w:tcW w:type="dxa" w:w="565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Excess-return computation against the benchmark, one-sample t-testing across all 120 sector-month cells, t-statistic edge ranking, and mapping to the India-specific seasonal event calendar.</w:t>
            </w:r>
          </w:p>
        </w:tc>
        <w:tc>
          <w:tcPr>
            <w:tcW w:type="dxa" w:w="15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Prototyped</w:t>
            </w:r>
          </w:p>
        </w:tc>
      </w:tr>
      <w:tr>
        <w:trPr>
          <w:tblHeader w:val="false"/>
        </w:trPr>
        <w:tc>
          <w:tcPr>
            <w:tcW w:type="dxa" w:w="245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Seasonal validation</w:t>
            </w:r>
          </w:p>
        </w:tc>
        <w:tc>
          <w:tcPr>
            <w:tcW w:type="dxa" w:w="565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Split history into discovery and holdout periods, flag significant patterns on the discovery period only, and measure whether they persist out of sample against an all-cells baseline.</w:t>
            </w:r>
          </w:p>
        </w:tc>
        <w:tc>
          <w:tcPr>
            <w:tcW w:type="dxa" w:w="15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Prototyped</w:t>
            </w:r>
          </w:p>
        </w:tc>
      </w:tr>
      <w:tr>
        <w:trPr>
          <w:tblHeader w:val="false"/>
        </w:trPr>
        <w:tc>
          <w:tcPr>
            <w:tcW w:type="dxa" w:w="245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Technical analysis</w:t>
            </w:r>
          </w:p>
        </w:tc>
        <w:tc>
          <w:tcPr>
            <w:tcW w:type="dxa" w:w="565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Momentum, trend, volatility and mean-reversion indicators — RSI, MACD, Bollinger bands, stochastic, CCI, ATR, moving-average structure, trend strength and support/resistance detection — reduced to one interpretable technical reading.</w:t>
            </w:r>
          </w:p>
        </w:tc>
        <w:tc>
          <w:tcPr>
            <w:tcW w:type="dxa" w:w="15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Prototyped</w:t>
            </w:r>
          </w:p>
        </w:tc>
      </w:tr>
      <w:tr>
        <w:trPr>
          <w:tblHeader w:val="false"/>
        </w:trPr>
        <w:tc>
          <w:tcPr>
            <w:tcW w:type="dxa" w:w="245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Fundamental analysis</w:t>
            </w:r>
          </w:p>
        </w:tc>
        <w:tc>
          <w:tcPr>
            <w:tcW w:type="dxa" w:w="565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Score profitability, leverage, growth and valuation from reported financials, with a per-category breakdown rather than a single opaque number.</w:t>
            </w:r>
          </w:p>
        </w:tc>
        <w:tc>
          <w:tcPr>
            <w:tcW w:type="dxa" w:w="15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Prototyped</w:t>
            </w:r>
          </w:p>
        </w:tc>
      </w:tr>
      <w:tr>
        <w:trPr>
          <w:tblHeader w:val="false"/>
        </w:trPr>
        <w:tc>
          <w:tcPr>
            <w:tcW w:type="dxa" w:w="245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Volumetric analysis</w:t>
            </w:r>
          </w:p>
        </w:tc>
        <w:tc>
          <w:tcPr>
            <w:tcW w:type="dxa" w:w="565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Volume trend, price-volume confirmation and accumulation/distribution behaviour, used to confirm or contradict the technical reading.</w:t>
            </w:r>
          </w:p>
        </w:tc>
        <w:tc>
          <w:tcPr>
            <w:tcW w:type="dxa" w:w="15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Prototyped</w:t>
            </w:r>
          </w:p>
        </w:tc>
      </w:tr>
      <w:tr>
        <w:trPr>
          <w:tblHeader w:val="false"/>
        </w:trPr>
        <w:tc>
          <w:tcPr>
            <w:tcW w:type="dxa" w:w="245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Sector and peer comparison</w:t>
            </w:r>
          </w:p>
        </w:tc>
        <w:tc>
          <w:tcPr>
            <w:tcW w:type="dxa" w:w="565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Compare the stock against its sector index and the broad market, then rank it side by side against its same-sector NSE cohort and surface better-performing alternatives when it is trailing.</w:t>
            </w:r>
          </w:p>
        </w:tc>
        <w:tc>
          <w:tcPr>
            <w:tcW w:type="dxa" w:w="15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Prototyped</w:t>
            </w:r>
          </w:p>
        </w:tc>
      </w:tr>
      <w:tr>
        <w:trPr>
          <w:tblHeader w:val="false"/>
        </w:trPr>
        <w:tc>
          <w:tcPr>
            <w:tcW w:type="dxa" w:w="245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News sentiment</w:t>
            </w:r>
          </w:p>
        </w:tc>
        <w:tc>
          <w:tcPr>
            <w:tcW w:type="dxa" w:w="565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Hybrid news retrieval (RSS feeds with full-article extraction as fallback) scored by a finance-domain transformer model, producing separate stock-level and sector-level sentiment plus a divergence signal between them.</w:t>
            </w:r>
          </w:p>
        </w:tc>
        <w:tc>
          <w:tcPr>
            <w:tcW w:type="dxa" w:w="15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Prototyped</w:t>
            </w:r>
          </w:p>
        </w:tc>
      </w:tr>
      <w:tr>
        <w:trPr>
          <w:tblHeader w:val="false"/>
        </w:trPr>
        <w:tc>
          <w:tcPr>
            <w:tcW w:type="dxa" w:w="245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Geopolitical analysis (War Room)</w:t>
            </w:r>
          </w:p>
        </w:tc>
        <w:tc>
          <w:tcPr>
            <w:tcW w:type="dxa" w:w="565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Retrieval-augmented conflict analysis: trace a conflict through India's bilateral relations and commodity trade exposure to the affected Indian sectors and NSE tickers, grounded in official customs trade statistics.</w:t>
            </w:r>
          </w:p>
        </w:tc>
        <w:tc>
          <w:tcPr>
            <w:tcW w:type="dxa" w:w="15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Prototyped</w:t>
            </w:r>
          </w:p>
        </w:tc>
      </w:tr>
      <w:tr>
        <w:trPr>
          <w:tblHeader w:val="false"/>
        </w:trPr>
        <w:tc>
          <w:tcPr>
            <w:tcW w:type="dxa" w:w="245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Geopolitical exposure factor</w:t>
            </w:r>
          </w:p>
        </w:tc>
        <w:tc>
          <w:tcPr>
            <w:tcW w:type="dxa" w:w="565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Convert the geopolitical knowledge base into a deterministic, time-varying per-stock exposure score driven by the observed pressure in the relevant traded commodities.</w:t>
            </w:r>
          </w:p>
        </w:tc>
        <w:tc>
          <w:tcPr>
            <w:tcW w:type="dxa" w:w="15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Prototyped</w:t>
            </w:r>
          </w:p>
        </w:tc>
      </w:tr>
      <w:tr>
        <w:trPr>
          <w:tblHeader w:val="false"/>
        </w:trPr>
        <w:tc>
          <w:tcPr>
            <w:tcW w:type="dxa" w:w="245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Multi-factor scoring</w:t>
            </w:r>
          </w:p>
        </w:tc>
        <w:tc>
          <w:tcPr>
            <w:tcW w:type="dxa" w:w="565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Combine the six factor readings into one consolidated score, with an expandable "why this score" explanation behind every factor.</w:t>
            </w:r>
          </w:p>
        </w:tc>
        <w:tc>
          <w:tcPr>
            <w:tcW w:type="dxa" w:w="15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Prototyped</w:t>
            </w:r>
          </w:p>
        </w:tc>
      </w:tr>
      <w:tr>
        <w:trPr>
          <w:tblHeader w:val="false"/>
        </w:trPr>
        <w:tc>
          <w:tcPr>
            <w:tcW w:type="dxa" w:w="245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Machine-learning consensus</w:t>
            </w:r>
          </w:p>
        </w:tc>
        <w:tc>
          <w:tcPr>
            <w:tcW w:type="dxa" w:w="565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Three complementary models — random forest, gradient boosting and a rule-aware hybrid — over engineered price-derived features, combined by soft voting, targeting relative performance against the Nifty 50 rather than absolute direction.</w:t>
            </w:r>
          </w:p>
        </w:tc>
        <w:tc>
          <w:tcPr>
            <w:tcW w:type="dxa" w:w="15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Prototyped</w:t>
            </w:r>
          </w:p>
        </w:tc>
      </w:tr>
      <w:tr>
        <w:trPr>
          <w:tblHeader w:val="false"/>
        </w:trPr>
        <w:tc>
          <w:tcPr>
            <w:tcW w:type="dxa" w:w="245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Validation harness</w:t>
            </w:r>
          </w:p>
        </w:tc>
        <w:tc>
          <w:tcPr>
            <w:tcW w:type="dxa" w:w="565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Purged, time-ordered walk-forward evaluation with an embargo, a planted-signal positive control, and autocorrelation-corrected significance testing of every candidate signal.</w:t>
            </w:r>
          </w:p>
        </w:tc>
        <w:tc>
          <w:tcPr>
            <w:tcW w:type="dxa" w:w="15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Prototyped</w:t>
            </w:r>
          </w:p>
        </w:tc>
      </w:tr>
      <w:tr>
        <w:trPr>
          <w:tblHeader w:val="false"/>
        </w:trPr>
        <w:tc>
          <w:tcPr>
            <w:tcW w:type="dxa" w:w="245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Portfolio construction</w:t>
            </w:r>
          </w:p>
        </w:tc>
        <w:tc>
          <w:tcPr>
            <w:tcW w:type="dxa" w:w="565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Translate the consolidated view and the user's stated risk appetite and horizon into an illustrative allocation with a concentration measure.</w:t>
            </w:r>
          </w:p>
        </w:tc>
        <w:tc>
          <w:tcPr>
            <w:tcW w:type="dxa" w:w="15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Prototyped</w:t>
            </w:r>
          </w:p>
        </w:tc>
      </w:tr>
      <w:tr>
        <w:trPr>
          <w:tblHeader w:val="false"/>
        </w:trPr>
        <w:tc>
          <w:tcPr>
            <w:tcW w:type="dxa" w:w="245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Interface</w:t>
            </w:r>
          </w:p>
        </w:tc>
        <w:tc>
          <w:tcPr>
            <w:tcW w:type="dxa" w:w="565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Single-page application with Analysis, Seasonal and War Room views; interactive charting; factor explainability panels; explicit no-signal states.</w:t>
            </w:r>
          </w:p>
        </w:tc>
        <w:tc>
          <w:tcPr>
            <w:tcW w:type="dxa" w:w="15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Prototyped</w:t>
            </w:r>
          </w:p>
        </w:tc>
      </w:tr>
    </w:tbl>
    <w:p>
      <w:pPr>
        <w:spacing w:after="200" w:before="60"/>
      </w:pPr>
      <w:r>
        <w:rPr>
          <w:rFonts w:ascii="Calibri" w:cs="Calibri" w:eastAsia="Calibri" w:hAnsi="Calibri"/>
          <w:i/>
          <w:iCs/>
          <w:color w:val="5E6B66"/>
          <w:sz w:val="18"/>
          <w:szCs w:val="18"/>
        </w:rPr>
        <w:t xml:space="preserve">Table 4.2 — Proposed module catalogue and Review-1 status.</w:t>
      </w:r>
    </w:p>
    <w:p>
      <w:pPr>
        <w:pStyle w:val="Heading2"/>
        <w:spacing w:after="90" w:before="230"/>
      </w:pPr>
      <w:r>
        <w:rPr>
          <w:rFonts w:ascii="Calibri" w:cs="Calibri" w:eastAsia="Calibri" w:hAnsi="Calibri"/>
          <w:b/>
          <w:bCs/>
          <w:color w:val="3E6B5E"/>
          <w:sz w:val="23"/>
          <w:szCs w:val="23"/>
        </w:rPr>
        <w:t xml:space="preserve">4.3 The Seasonal Engine in Detail</w:t>
      </w:r>
    </w:p>
    <w:p>
      <w:pPr>
        <w:spacing w:after="110" w:line="276"/>
        <w:jc w:val="both"/>
      </w:pPr>
      <w:r>
        <w:rPr>
          <w:rFonts w:ascii="Calibri" w:cs="Calibri" w:eastAsia="Calibri" w:hAnsi="Calibri"/>
          <w:b w:val="false"/>
          <w:bCs w:val="false"/>
          <w:i w:val="false"/>
          <w:iCs w:val="false"/>
          <w:color w:val="1C2321"/>
          <w:sz w:val="21"/>
          <w:szCs w:val="21"/>
        </w:rPr>
        <w:t xml:space="preserve">The seasonal engine is the project's original contribution and is specified here in full. It proceeds in five stages.</w:t>
      </w:r>
    </w:p>
    <w:tbl>
      <w:tblPr>
        <w:tblW w:type="dxa" w:w="9602"/>
        <w:tblBorders>
          <w:top w:val="single" w:color="B9C7C1" w:sz="4"/>
          <w:left w:val="single" w:color="B9C7C1" w:sz="4"/>
          <w:bottom w:val="single" w:color="B9C7C1" w:sz="4"/>
          <w:right w:val="single" w:color="B9C7C1" w:sz="4"/>
          <w:insideH w:val="single" w:color="B9C7C1" w:sz="4"/>
          <w:insideV w:val="single" w:color="B9C7C1" w:sz="4"/>
        </w:tblBorders>
      </w:tblPr>
      <w:tblGrid>
        <w:gridCol w:w="900"/>
        <w:gridCol w:w="2400"/>
        <w:gridCol w:w="6302"/>
      </w:tblGrid>
      <w:tr>
        <w:trPr>
          <w:tblHeader/>
        </w:trPr>
        <w:tc>
          <w:tcPr>
            <w:tcW w:type="dxa" w:w="900"/>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9"/>
                <w:szCs w:val="19"/>
              </w:rPr>
              <w:t xml:space="preserve">Stage</w:t>
            </w:r>
          </w:p>
        </w:tc>
        <w:tc>
          <w:tcPr>
            <w:tcW w:type="dxa" w:w="2400"/>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9"/>
                <w:szCs w:val="19"/>
              </w:rPr>
              <w:t xml:space="preserve">Step</w:t>
            </w:r>
          </w:p>
        </w:tc>
        <w:tc>
          <w:tcPr>
            <w:tcW w:type="dxa" w:w="6302"/>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9"/>
                <w:szCs w:val="19"/>
              </w:rPr>
              <w:t xml:space="preserve">Method</w:t>
            </w:r>
          </w:p>
        </w:tc>
      </w:tr>
      <w:tr>
        <w:trPr>
          <w:tblHeader w:val="false"/>
        </w:trPr>
        <w:tc>
          <w:tcPr>
            <w:tcW w:type="dxa" w:w="9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S1</w:t>
            </w:r>
          </w:p>
        </w:tc>
        <w:tc>
          <w:tcPr>
            <w:tcW w:type="dxa" w:w="24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Assemble</w:t>
            </w:r>
          </w:p>
        </w:tc>
        <w:tc>
          <w:tcPr>
            <w:tcW w:type="dxa" w:w="630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Build monthly return series for each of the ten sector indices and for the Nifty 50 benchmark over a rolling window of approximately eleven years.</w:t>
            </w:r>
          </w:p>
        </w:tc>
      </w:tr>
      <w:tr>
        <w:trPr>
          <w:tblHeader w:val="false"/>
        </w:trPr>
        <w:tc>
          <w:tcPr>
            <w:tcW w:type="dxa" w:w="9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S2</w:t>
            </w:r>
          </w:p>
        </w:tc>
        <w:tc>
          <w:tcPr>
            <w:tcW w:type="dxa" w:w="24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Neutralise the market</w:t>
            </w:r>
          </w:p>
        </w:tc>
        <w:tc>
          <w:tcPr>
            <w:tcW w:type="dxa" w:w="630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For every sector and month, compute the excess return — sector monthly return minus benchmark monthly return. This removes market beta so what remains is sector rotation, not market drift.</w:t>
            </w:r>
          </w:p>
        </w:tc>
      </w:tr>
      <w:tr>
        <w:trPr>
          <w:tblHeader w:val="false"/>
        </w:trPr>
        <w:tc>
          <w:tcPr>
            <w:tcW w:type="dxa" w:w="9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S3</w:t>
            </w:r>
          </w:p>
        </w:tc>
        <w:tc>
          <w:tcPr>
            <w:tcW w:type="dxa" w:w="24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Test</w:t>
            </w:r>
          </w:p>
        </w:tc>
        <w:tc>
          <w:tcPr>
            <w:tcW w:type="dxa" w:w="630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Run a one-sample t-test on each sector-month's excess returns against a null of zero. Record the mean excess, standard deviation, t-statistic, p-value, sample count and the proportion of years the sector beat the market that month.</w:t>
            </w:r>
          </w:p>
        </w:tc>
      </w:tr>
      <w:tr>
        <w:trPr>
          <w:tblHeader w:val="false"/>
        </w:trPr>
        <w:tc>
          <w:tcPr>
            <w:tcW w:type="dxa" w:w="9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S4</w:t>
            </w:r>
          </w:p>
        </w:tc>
        <w:tc>
          <w:tcPr>
            <w:tcW w:type="dxa" w:w="24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Rank and explain</w:t>
            </w:r>
          </w:p>
        </w:tc>
        <w:tc>
          <w:tcPr>
            <w:tcW w:type="dxa" w:w="630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Rank surviving patterns by t-statistic — a signal-to-noise measure — rather than by raw magnitude, and tag each with its India-specific driver from the seasonal event calendar (Budget, financial year end, monsoon, earnings, Diwali and Samvat festive demand).</w:t>
            </w:r>
          </w:p>
        </w:tc>
      </w:tr>
      <w:tr>
        <w:trPr>
          <w:tblHeader w:val="false"/>
        </w:trPr>
        <w:tc>
          <w:tcPr>
            <w:tcW w:type="dxa" w:w="9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S5</w:t>
            </w:r>
          </w:p>
        </w:tc>
        <w:tc>
          <w:tcPr>
            <w:tcW w:type="dxa" w:w="24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Validate</w:t>
            </w:r>
          </w:p>
        </w:tc>
        <w:tc>
          <w:tcPr>
            <w:tcW w:type="dxa" w:w="630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Re-run discovery on an earlier portion of history only, then measure on the later, unseen years whether each flagged pattern kept its sign and how its excess compares with the all-cells baseline.</w:t>
            </w:r>
          </w:p>
        </w:tc>
      </w:tr>
    </w:tbl>
    <w:p>
      <w:pPr>
        <w:spacing w:after="200" w:before="60"/>
      </w:pPr>
      <w:r>
        <w:rPr>
          <w:rFonts w:ascii="Calibri" w:cs="Calibri" w:eastAsia="Calibri" w:hAnsi="Calibri"/>
          <w:i/>
          <w:iCs/>
          <w:color w:val="5E6B66"/>
          <w:sz w:val="18"/>
          <w:szCs w:val="18"/>
        </w:rPr>
        <w:t xml:space="preserve">Table 4.3 — The five stages of the seasonal engine.</w:t>
      </w:r>
    </w:p>
    <w:p>
      <w:pPr>
        <w:spacing w:after="110" w:line="276"/>
        <w:jc w:val="both"/>
      </w:pPr>
      <w:r>
        <w:rPr>
          <w:rFonts w:ascii="Calibri" w:cs="Calibri" w:eastAsia="Calibri" w:hAnsi="Calibri"/>
          <w:b w:val="false"/>
          <w:bCs w:val="false"/>
          <w:i w:val="false"/>
          <w:iCs w:val="false"/>
          <w:color w:val="1C2321"/>
          <w:sz w:val="21"/>
          <w:szCs w:val="21"/>
        </w:rPr>
        <w:t xml:space="preserve">Two design decisions deserve emphasis. First, ranking by t-statistic rather than by average return is what stops a large but unreliable pattern from outranking a smaller, consistent one. Second, requiring an economic driver is a deliberate guard against the multiple-testing problem: a statistically significant cell with no plausible cause is treated as a candidate artefact, not a finding.</w:t>
      </w:r>
    </w:p>
    <w:p>
      <w:pPr>
        <w:pStyle w:val="Heading2"/>
        <w:spacing w:after="90" w:before="230"/>
      </w:pPr>
      <w:r>
        <w:rPr>
          <w:rFonts w:ascii="Calibri" w:cs="Calibri" w:eastAsia="Calibri" w:hAnsi="Calibri"/>
          <w:b/>
          <w:bCs/>
          <w:color w:val="3E6B5E"/>
          <w:sz w:val="23"/>
          <w:szCs w:val="23"/>
        </w:rPr>
        <w:t xml:space="preserve">4.4 Validation Methodology</w:t>
      </w:r>
    </w:p>
    <w:p>
      <w:pPr>
        <w:spacing w:after="110" w:line="276"/>
        <w:jc w:val="both"/>
      </w:pPr>
      <w:r>
        <w:rPr>
          <w:rFonts w:ascii="Calibri" w:cs="Calibri" w:eastAsia="Calibri" w:hAnsi="Calibri"/>
          <w:b w:val="false"/>
          <w:bCs w:val="false"/>
          <w:i w:val="false"/>
          <w:iCs w:val="false"/>
          <w:color w:val="1C2321"/>
          <w:sz w:val="21"/>
          <w:szCs w:val="21"/>
        </w:rPr>
        <w:t xml:space="preserve">The literature in Domain 2 makes validation the decisive part of the design, so it is specified as a first-class component rather than a final step. Three mechanisms are proposed:</w:t>
      </w:r>
    </w:p>
    <w:p>
      <w:pPr>
        <w:pStyle w:val="ListParagraph"/>
        <w:numPr>
          <w:ilvl w:val="0"/>
          <w:numId w:val="2"/>
        </w:numPr>
        <w:spacing w:after="70" w:line="276"/>
      </w:pPr>
      <w:r>
        <w:rPr>
          <w:rFonts w:ascii="Calibri" w:cs="Calibri" w:eastAsia="Calibri" w:hAnsi="Calibri"/>
          <w:b/>
          <w:bCs/>
          <w:i w:val="false"/>
          <w:iCs w:val="false"/>
          <w:color w:val="1C2321"/>
          <w:sz w:val="21"/>
          <w:szCs w:val="21"/>
        </w:rPr>
        <w:t xml:space="preserve">Purged walk-forward evaluation.</w:t>
      </w:r>
      <w:r>
        <w:rPr>
          <w:rFonts w:ascii="Calibri" w:cs="Calibri" w:eastAsia="Calibri" w:hAnsi="Calibri"/>
          <w:b w:val="false"/>
          <w:bCs w:val="false"/>
          <w:i w:val="false"/>
          <w:iCs w:val="false"/>
          <w:color w:val="1C2321"/>
          <w:sz w:val="21"/>
          <w:szCs w:val="21"/>
        </w:rPr>
        <w:t xml:space="preserve"> Training and testing windows move forward in time with an embargo between them, so no model is ever evaluated on a period that overlaps the data it learned from.</w:t>
      </w:r>
    </w:p>
    <w:p>
      <w:pPr>
        <w:pStyle w:val="ListParagraph"/>
        <w:numPr>
          <w:ilvl w:val="0"/>
          <w:numId w:val="2"/>
        </w:numPr>
        <w:spacing w:after="70" w:line="276"/>
      </w:pPr>
      <w:r>
        <w:rPr>
          <w:rFonts w:ascii="Calibri" w:cs="Calibri" w:eastAsia="Calibri" w:hAnsi="Calibri"/>
          <w:b/>
          <w:bCs/>
          <w:i w:val="false"/>
          <w:iCs w:val="false"/>
          <w:color w:val="1C2321"/>
          <w:sz w:val="21"/>
          <w:szCs w:val="21"/>
        </w:rPr>
        <w:t xml:space="preserve">A positive control.</w:t>
      </w:r>
      <w:r>
        <w:rPr>
          <w:rFonts w:ascii="Calibri" w:cs="Calibri" w:eastAsia="Calibri" w:hAnsi="Calibri"/>
          <w:b w:val="false"/>
          <w:bCs w:val="false"/>
          <w:i w:val="false"/>
          <w:iCs w:val="false"/>
          <w:color w:val="1C2321"/>
          <w:sz w:val="21"/>
          <w:szCs w:val="21"/>
        </w:rPr>
        <w:t xml:space="preserve"> Before any negative result is believed, a deliberately corrupted copy of the target is planted as a feature and the noise dialled up. If the harness cannot recover a planted signal, the harness — not the market — is at fault.</w:t>
      </w:r>
    </w:p>
    <w:p>
      <w:pPr>
        <w:pStyle w:val="ListParagraph"/>
        <w:numPr>
          <w:ilvl w:val="0"/>
          <w:numId w:val="2"/>
        </w:numPr>
        <w:spacing w:after="70" w:line="276"/>
      </w:pPr>
      <w:r>
        <w:rPr>
          <w:rFonts w:ascii="Calibri" w:cs="Calibri" w:eastAsia="Calibri" w:hAnsi="Calibri"/>
          <w:b/>
          <w:bCs/>
          <w:i w:val="false"/>
          <w:iCs w:val="false"/>
          <w:color w:val="1C2321"/>
          <w:sz w:val="21"/>
          <w:szCs w:val="21"/>
        </w:rPr>
        <w:t xml:space="preserve">Autocorrelation-corrected significance.</w:t>
      </w:r>
      <w:r>
        <w:rPr>
          <w:rFonts w:ascii="Calibri" w:cs="Calibri" w:eastAsia="Calibri" w:hAnsi="Calibri"/>
          <w:b w:val="false"/>
          <w:bCs w:val="false"/>
          <w:i w:val="false"/>
          <w:iCs w:val="false"/>
          <w:color w:val="1C2321"/>
          <w:sz w:val="21"/>
          <w:szCs w:val="21"/>
        </w:rPr>
        <w:t xml:space="preserve"> Daily information coefficients measured against an overlapping multi-day target are heavily autocorrelated. Naive t-statistics treat every day as independent and badly overstate significance, so the corrected form is used throughout.</w:t>
      </w:r>
    </w:p>
    <w:p>
      <w:pPr>
        <w:pStyle w:val="Heading3"/>
        <w:spacing w:after="70" w:before="165"/>
      </w:pPr>
      <w:r>
        <w:rPr>
          <w:rFonts w:ascii="Calibri" w:cs="Calibri" w:eastAsia="Calibri" w:hAnsi="Calibri"/>
          <w:b/>
          <w:bCs/>
          <w:color w:val="A96A28"/>
          <w:sz w:val="21"/>
          <w:szCs w:val="21"/>
        </w:rPr>
        <w:t xml:space="preserve">Preliminary validation findings</w:t>
      </w:r>
    </w:p>
    <w:p>
      <w:pPr>
        <w:spacing w:after="110" w:line="276"/>
        <w:jc w:val="both"/>
      </w:pPr>
      <w:r>
        <w:rPr>
          <w:rFonts w:ascii="Calibri" w:cs="Calibri" w:eastAsia="Calibri" w:hAnsi="Calibri"/>
          <w:b w:val="false"/>
          <w:bCs w:val="false"/>
          <w:i w:val="false"/>
          <w:iCs w:val="false"/>
          <w:color w:val="1C2321"/>
          <w:sz w:val="21"/>
          <w:szCs w:val="21"/>
        </w:rPr>
        <w:t xml:space="preserve">The validation harness has already been exercised, and the results are reported here because they shaped the project's direction. Two findings are worth stating at Review 1:</w:t>
      </w:r>
    </w:p>
    <w:p>
      <w:pPr>
        <w:pStyle w:val="ListParagraph"/>
        <w:numPr>
          <w:ilvl w:val="0"/>
          <w:numId w:val="2"/>
        </w:numPr>
        <w:spacing w:after="70" w:line="276"/>
      </w:pPr>
      <w:r>
        <w:rPr>
          <w:rFonts w:ascii="Calibri" w:cs="Calibri" w:eastAsia="Calibri" w:hAnsi="Calibri"/>
          <w:b/>
          <w:bCs/>
          <w:i w:val="false"/>
          <w:iCs w:val="false"/>
          <w:color w:val="1C2321"/>
          <w:sz w:val="21"/>
          <w:szCs w:val="21"/>
        </w:rPr>
        <w:t xml:space="preserve">Purely technical signals showed no reliable out-of-sample edge.</w:t>
      </w:r>
      <w:r>
        <w:rPr>
          <w:rFonts w:ascii="Calibri" w:cs="Calibri" w:eastAsia="Calibri" w:hAnsi="Calibri"/>
          <w:b w:val="false"/>
          <w:bCs w:val="false"/>
          <w:i w:val="false"/>
          <w:iCs w:val="false"/>
          <w:color w:val="1C2321"/>
          <w:sz w:val="21"/>
          <w:szCs w:val="21"/>
        </w:rPr>
        <w:t xml:space="preserve"> Across more than twenty model and preprocessing configurations, out-of-sample discrimination sat at the level of a pure-noise control, while the positive control confirmed the harness itself was sound.</w:t>
      </w:r>
    </w:p>
    <w:p>
      <w:pPr>
        <w:pStyle w:val="ListParagraph"/>
        <w:numPr>
          <w:ilvl w:val="0"/>
          <w:numId w:val="2"/>
        </w:numPr>
        <w:spacing w:after="70" w:line="276"/>
      </w:pPr>
      <w:r>
        <w:rPr>
          <w:rFonts w:ascii="Calibri" w:cs="Calibri" w:eastAsia="Calibri" w:hAnsi="Calibri"/>
          <w:b/>
          <w:bCs/>
          <w:i w:val="false"/>
          <w:iCs w:val="false"/>
          <w:color w:val="1C2321"/>
          <w:sz w:val="21"/>
          <w:szCs w:val="21"/>
        </w:rPr>
        <w:t xml:space="preserve">Significance testing must be autocorrelation-corrected.</w:t>
      </w:r>
      <w:r>
        <w:rPr>
          <w:rFonts w:ascii="Calibri" w:cs="Calibri" w:eastAsia="Calibri" w:hAnsi="Calibri"/>
          <w:b w:val="false"/>
          <w:bCs w:val="false"/>
          <w:i w:val="false"/>
          <w:iCs w:val="false"/>
          <w:color w:val="1C2321"/>
          <w:sz w:val="21"/>
          <w:szCs w:val="21"/>
        </w:rPr>
        <w:t xml:space="preserve"> Of thirty candidate signals, twenty appeared statistically significant under naive testing; only three survived the corrected test.</w:t>
      </w:r>
    </w:p>
    <w:p>
      <w:pPr>
        <w:pBdr>
          <w:left w:val="single" w:color="A96A28" w:sz="16" w:space="10"/>
        </w:pBdr>
        <w:shd w:fill="F1F5F3" w:color="auto" w:val="clear"/>
        <w:spacing w:after="180" w:before="90" w:line="276"/>
        <w:ind w:left="431" w:right="431"/>
      </w:pPr>
      <w:r>
        <w:rPr>
          <w:rFonts w:ascii="Calibri" w:cs="Calibri" w:eastAsia="Calibri" w:hAnsi="Calibri"/>
          <w:i/>
          <w:iCs/>
          <w:color w:val="1C2321"/>
          <w:sz w:val="21"/>
          <w:szCs w:val="21"/>
        </w:rPr>
        <w:t xml:space="preserve">These results are the reason the project's centre of gravity is the seasonal engine. Seasonality is a narrower, economically explainable and directly testable hypothesis, and the same validation discipline that produced these negative findings is what will make a positive seasonal finding credible.</w:t>
      </w:r>
    </w:p>
    <w:p>
      <w:pPr>
        <w:pageBreakBefore/>
      </w:pPr>
    </w:p>
    <w:p>
      <w:pPr>
        <w:pStyle w:val="Heading1"/>
        <w:pBdr>
          <w:bottom w:val="single" w:color="2F5D50" w:sz="8" w:space="4"/>
        </w:pBdr>
        <w:spacing w:after="150" w:before="340"/>
      </w:pPr>
      <w:r>
        <w:rPr>
          <w:rFonts w:ascii="Calibri" w:cs="Calibri" w:eastAsia="Calibri" w:hAnsi="Calibri"/>
          <w:b/>
          <w:bCs/>
          <w:color w:val="2F5D50"/>
          <w:sz w:val="27"/>
          <w:szCs w:val="27"/>
        </w:rPr>
        <w:t xml:space="preserve">5. Project Objectives and Expected Outcome</w:t>
      </w:r>
    </w:p>
    <w:p>
      <w:pPr>
        <w:pStyle w:val="Heading2"/>
        <w:spacing w:after="90" w:before="230"/>
      </w:pPr>
      <w:r>
        <w:rPr>
          <w:rFonts w:ascii="Calibri" w:cs="Calibri" w:eastAsia="Calibri" w:hAnsi="Calibri"/>
          <w:b/>
          <w:bCs/>
          <w:color w:val="3E6B5E"/>
          <w:sz w:val="23"/>
          <w:szCs w:val="23"/>
        </w:rPr>
        <w:t xml:space="preserve">5.1 Objectives</w:t>
      </w:r>
    </w:p>
    <w:p>
      <w:pPr>
        <w:spacing w:after="110" w:line="276"/>
        <w:jc w:val="both"/>
      </w:pPr>
      <w:r>
        <w:rPr>
          <w:rFonts w:ascii="Calibri" w:cs="Calibri" w:eastAsia="Calibri" w:hAnsi="Calibri"/>
          <w:b w:val="false"/>
          <w:bCs w:val="false"/>
          <w:i w:val="false"/>
          <w:iCs w:val="false"/>
          <w:color w:val="1C2321"/>
          <w:sz w:val="21"/>
          <w:szCs w:val="21"/>
        </w:rPr>
        <w:t xml:space="preserve">The project has seven objectives. Each is measurable and each maps to a deliverable.</w:t>
      </w:r>
    </w:p>
    <w:tbl>
      <w:tblPr>
        <w:tblW w:type="dxa" w:w="9602"/>
        <w:tblBorders>
          <w:top w:val="single" w:color="B9C7C1" w:sz="4"/>
          <w:left w:val="single" w:color="B9C7C1" w:sz="4"/>
          <w:bottom w:val="single" w:color="B9C7C1" w:sz="4"/>
          <w:right w:val="single" w:color="B9C7C1" w:sz="4"/>
          <w:insideH w:val="single" w:color="B9C7C1" w:sz="4"/>
          <w:insideV w:val="single" w:color="B9C7C1" w:sz="4"/>
        </w:tblBorders>
      </w:tblPr>
      <w:tblGrid>
        <w:gridCol w:w="700"/>
        <w:gridCol w:w="3600"/>
        <w:gridCol w:w="5302"/>
      </w:tblGrid>
      <w:tr>
        <w:trPr>
          <w:tblHeader/>
        </w:trPr>
        <w:tc>
          <w:tcPr>
            <w:tcW w:type="dxa" w:w="700"/>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9"/>
                <w:szCs w:val="19"/>
              </w:rPr>
              <w:t xml:space="preserve">No.</w:t>
            </w:r>
          </w:p>
        </w:tc>
        <w:tc>
          <w:tcPr>
            <w:tcW w:type="dxa" w:w="3600"/>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9"/>
                <w:szCs w:val="19"/>
              </w:rPr>
              <w:t xml:space="preserve">Objective</w:t>
            </w:r>
          </w:p>
        </w:tc>
        <w:tc>
          <w:tcPr>
            <w:tcW w:type="dxa" w:w="5302"/>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9"/>
                <w:szCs w:val="19"/>
              </w:rPr>
              <w:t xml:space="preserve">How it will be measured</w:t>
            </w:r>
          </w:p>
        </w:tc>
      </w:tr>
      <w:tr>
        <w:trPr>
          <w:tblHeader w:val="false"/>
        </w:trPr>
        <w:tc>
          <w:tcPr>
            <w:tcW w:type="dxa" w:w="7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O1</w:t>
            </w:r>
          </w:p>
        </w:tc>
        <w:tc>
          <w:tcPr>
            <w:tcW w:type="dxa" w:w="36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Build an automated data layer for Indian equity data — ten NSE sector indices, their constituents, and the Nifty 50 benchmark — over a rolling ten to eleven year window.</w:t>
            </w:r>
          </w:p>
        </w:tc>
        <w:tc>
          <w:tcPr>
            <w:tcW w:type="dxa" w:w="530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Pipeline retrieves, cleans and caches monthly return series for all ten sectors and the benchmark, with documented handling of missing data and index fallbacks.</w:t>
            </w:r>
          </w:p>
        </w:tc>
      </w:tr>
      <w:tr>
        <w:trPr>
          <w:tblHeader w:val="false"/>
        </w:trPr>
        <w:tc>
          <w:tcPr>
            <w:tcW w:type="dxa" w:w="7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O2</w:t>
            </w:r>
          </w:p>
        </w:tc>
        <w:tc>
          <w:tcPr>
            <w:tcW w:type="dxa" w:w="36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Design and implement the seasonal engine — market-relative excess returns, significance testing across all 120 sector-month cells, and t-statistic edge ranking.</w:t>
            </w:r>
          </w:p>
        </w:tc>
        <w:tc>
          <w:tcPr>
            <w:tcW w:type="dxa" w:w="530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Excess series and a complete test result (mean, t, p, sample count, win rate) produced for every cell, with a direct comparison against raw returns showing market beta removed.</w:t>
            </w:r>
          </w:p>
        </w:tc>
      </w:tr>
      <w:tr>
        <w:trPr>
          <w:tblHeader w:val="false"/>
        </w:trPr>
        <w:tc>
          <w:tcPr>
            <w:tcW w:type="dxa" w:w="7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O3</w:t>
            </w:r>
          </w:p>
        </w:tc>
        <w:tc>
          <w:tcPr>
            <w:tcW w:type="dxa" w:w="36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Map every statistically supported pattern to a documented India-specific economic driver.</w:t>
            </w:r>
          </w:p>
        </w:tc>
        <w:tc>
          <w:tcPr>
            <w:tcW w:type="dxa" w:w="530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A seasonal event calendar covering Budget, financial year end, monsoon, quarterly earnings and the Diwali/Samvat cycle, with each surfaced pattern tagged to its driver.</w:t>
            </w:r>
          </w:p>
        </w:tc>
      </w:tr>
      <w:tr>
        <w:trPr>
          <w:tblHeader w:val="false"/>
        </w:trPr>
        <w:tc>
          <w:tcPr>
            <w:tcW w:type="dxa" w:w="7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O4</w:t>
            </w:r>
          </w:p>
        </w:tc>
        <w:tc>
          <w:tcPr>
            <w:tcW w:type="dxa" w:w="36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Validate detected patterns out of sample, under a validation methodology specified in advance.</w:t>
            </w:r>
          </w:p>
        </w:tc>
        <w:tc>
          <w:tcPr>
            <w:tcW w:type="dxa" w:w="530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Persistence hit rate reported for all flagged patterns against an all-cells baseline; purged walk-forward protocol, positive control and corrected significance testing all in place.</w:t>
            </w:r>
          </w:p>
        </w:tc>
      </w:tr>
      <w:tr>
        <w:trPr>
          <w:tblHeader w:val="false"/>
        </w:trPr>
        <w:tc>
          <w:tcPr>
            <w:tcW w:type="dxa" w:w="7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O5</w:t>
            </w:r>
          </w:p>
        </w:tc>
        <w:tc>
          <w:tcPr>
            <w:tcW w:type="dxa" w:w="36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Build the surrounding multi-factor analysis engine — technical, fundamental, volumetric, sector and peer comparison, news sentiment and geopolitical exposure — so a seasonal reading can be interpreted in context.</w:t>
            </w:r>
          </w:p>
        </w:tc>
        <w:tc>
          <w:tcPr>
            <w:tcW w:type="dxa" w:w="530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Six independent factor scores produced per stock, each with an expandable explanation of the inputs that produced it, plus a side-by-side ranking against the sector cohort.</w:t>
            </w:r>
          </w:p>
        </w:tc>
      </w:tr>
      <w:tr>
        <w:trPr>
          <w:tblHeader w:val="false"/>
        </w:trPr>
        <w:tc>
          <w:tcPr>
            <w:tcW w:type="dxa" w:w="7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O6</w:t>
            </w:r>
          </w:p>
        </w:tc>
        <w:tc>
          <w:tcPr>
            <w:tcW w:type="dxa" w:w="36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Implement a machine-learning consensus layer targeting relative performance against the index, evaluated honestly against a baseline.</w:t>
            </w:r>
          </w:p>
        </w:tc>
        <w:tc>
          <w:tcPr>
            <w:tcW w:type="dxa" w:w="530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Three models trained on engineered price-derived features and combined by soft voting; out-of-sample performance reported against the majority-class baseline, including negative results.</w:t>
            </w:r>
          </w:p>
        </w:tc>
      </w:tr>
      <w:tr>
        <w:trPr>
          <w:tblHeader w:val="false"/>
        </w:trPr>
        <w:tc>
          <w:tcPr>
            <w:tcW w:type="dxa" w:w="7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O7</w:t>
            </w:r>
          </w:p>
        </w:tc>
        <w:tc>
          <w:tcPr>
            <w:tcW w:type="dxa" w:w="36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Deliver the whole system through a clean, explainable interface that reports negative results as clearly as positive ones.</w:t>
            </w:r>
          </w:p>
        </w:tc>
        <w:tc>
          <w:tcPr>
            <w:tcW w:type="dxa" w:w="530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Working API and single-page interface with Analysis, Seasonal and War Room views, factor explainability panels, and explicit "no reliable seasonal pattern" states.</w:t>
            </w:r>
          </w:p>
        </w:tc>
      </w:tr>
    </w:tbl>
    <w:p>
      <w:pPr>
        <w:spacing w:after="200" w:before="60"/>
      </w:pPr>
      <w:r>
        <w:rPr>
          <w:rFonts w:ascii="Calibri" w:cs="Calibri" w:eastAsia="Calibri" w:hAnsi="Calibri"/>
          <w:i/>
          <w:iCs/>
          <w:color w:val="5E6B66"/>
          <w:sz w:val="18"/>
          <w:szCs w:val="18"/>
        </w:rPr>
        <w:t xml:space="preserve">Table 5.1 — Project objectives and their measurement criteria.</w:t>
      </w:r>
    </w:p>
    <w:p>
      <w:pPr>
        <w:pStyle w:val="Heading2"/>
        <w:spacing w:after="90" w:before="230"/>
      </w:pPr>
      <w:r>
        <w:rPr>
          <w:rFonts w:ascii="Calibri" w:cs="Calibri" w:eastAsia="Calibri" w:hAnsi="Calibri"/>
          <w:b/>
          <w:bCs/>
          <w:color w:val="3E6B5E"/>
          <w:sz w:val="23"/>
          <w:szCs w:val="23"/>
        </w:rPr>
        <w:t xml:space="preserve">5.2 Expected Outcome</w:t>
      </w:r>
    </w:p>
    <w:p>
      <w:pPr>
        <w:pStyle w:val="Heading3"/>
        <w:spacing w:after="70" w:before="165"/>
      </w:pPr>
      <w:r>
        <w:rPr>
          <w:rFonts w:ascii="Calibri" w:cs="Calibri" w:eastAsia="Calibri" w:hAnsi="Calibri"/>
          <w:b/>
          <w:bCs/>
          <w:color w:val="A96A28"/>
          <w:sz w:val="21"/>
          <w:szCs w:val="21"/>
        </w:rPr>
        <w:t xml:space="preserve">Primary deliverables</w:t>
      </w:r>
    </w:p>
    <w:p>
      <w:pPr>
        <w:pStyle w:val="ListParagraph"/>
        <w:numPr>
          <w:ilvl w:val="0"/>
          <w:numId w:val="2"/>
        </w:numPr>
        <w:spacing w:after="70" w:line="276"/>
      </w:pPr>
      <w:r>
        <w:rPr>
          <w:rFonts w:ascii="Calibri" w:cs="Calibri" w:eastAsia="Calibri" w:hAnsi="Calibri"/>
          <w:b/>
          <w:bCs/>
          <w:i w:val="false"/>
          <w:iCs w:val="false"/>
          <w:color w:val="1C2321"/>
          <w:sz w:val="21"/>
          <w:szCs w:val="21"/>
        </w:rPr>
        <w:t xml:space="preserve">An integrated equity analysis platform</w:t>
      </w:r>
      <w:r>
        <w:rPr>
          <w:rFonts w:ascii="Calibri" w:cs="Calibri" w:eastAsia="Calibri" w:hAnsi="Calibri"/>
          <w:b w:val="false"/>
          <w:bCs w:val="false"/>
          <w:i w:val="false"/>
          <w:iCs w:val="false"/>
          <w:color w:val="1C2321"/>
          <w:sz w:val="21"/>
          <w:szCs w:val="21"/>
        </w:rPr>
        <w:t xml:space="preserve"> for the Indian market — Python/Flask backend, React frontend — with the seasonal engine as its research core and Analysis, Seasonal and War Room views.</w:t>
      </w:r>
    </w:p>
    <w:p>
      <w:pPr>
        <w:pStyle w:val="ListParagraph"/>
        <w:numPr>
          <w:ilvl w:val="0"/>
          <w:numId w:val="2"/>
        </w:numPr>
        <w:spacing w:after="70" w:line="276"/>
      </w:pPr>
      <w:r>
        <w:rPr>
          <w:rFonts w:ascii="Calibri" w:cs="Calibri" w:eastAsia="Calibri" w:hAnsi="Calibri"/>
          <w:b/>
          <w:bCs/>
          <w:i w:val="false"/>
          <w:iCs w:val="false"/>
          <w:color w:val="1C2321"/>
          <w:sz w:val="21"/>
          <w:szCs w:val="21"/>
        </w:rPr>
        <w:t xml:space="preserve">A validated list of Indian sector-month seasonal effects</w:t>
      </w:r>
      <w:r>
        <w:rPr>
          <w:rFonts w:ascii="Calibri" w:cs="Calibri" w:eastAsia="Calibri" w:hAnsi="Calibri"/>
          <w:b w:val="false"/>
          <w:bCs w:val="false"/>
          <w:i w:val="false"/>
          <w:iCs w:val="false"/>
          <w:color w:val="1C2321"/>
          <w:sz w:val="21"/>
          <w:szCs w:val="21"/>
        </w:rPr>
        <w:t xml:space="preserve">, each reported with its excess return, t-statistic, p-value, win rate and economic driver.</w:t>
      </w:r>
    </w:p>
    <w:p>
      <w:pPr>
        <w:pStyle w:val="ListParagraph"/>
        <w:numPr>
          <w:ilvl w:val="0"/>
          <w:numId w:val="2"/>
        </w:numPr>
        <w:spacing w:after="70" w:line="276"/>
      </w:pPr>
      <w:r>
        <w:rPr>
          <w:rFonts w:ascii="Calibri" w:cs="Calibri" w:eastAsia="Calibri" w:hAnsi="Calibri"/>
          <w:b/>
          <w:bCs/>
          <w:i w:val="false"/>
          <w:iCs w:val="false"/>
          <w:color w:val="1C2321"/>
          <w:sz w:val="21"/>
          <w:szCs w:val="21"/>
        </w:rPr>
        <w:t xml:space="preserve">An out-of-sample validation report</w:t>
      </w:r>
      <w:r>
        <w:rPr>
          <w:rFonts w:ascii="Calibri" w:cs="Calibri" w:eastAsia="Calibri" w:hAnsi="Calibri"/>
          <w:b w:val="false"/>
          <w:bCs w:val="false"/>
          <w:i w:val="false"/>
          <w:iCs w:val="false"/>
          <w:color w:val="1C2321"/>
          <w:sz w:val="21"/>
          <w:szCs w:val="21"/>
        </w:rPr>
        <w:t xml:space="preserve"> stating how many detected patterns persisted on unseen data, and by how much — including patterns that failed.</w:t>
      </w:r>
    </w:p>
    <w:p>
      <w:pPr>
        <w:pStyle w:val="ListParagraph"/>
        <w:numPr>
          <w:ilvl w:val="0"/>
          <w:numId w:val="2"/>
        </w:numPr>
        <w:spacing w:after="70" w:line="276"/>
      </w:pPr>
      <w:r>
        <w:rPr>
          <w:rFonts w:ascii="Calibri" w:cs="Calibri" w:eastAsia="Calibri" w:hAnsi="Calibri"/>
          <w:b/>
          <w:bCs/>
          <w:i w:val="false"/>
          <w:iCs w:val="false"/>
          <w:color w:val="1C2321"/>
          <w:sz w:val="21"/>
          <w:szCs w:val="21"/>
        </w:rPr>
        <w:t xml:space="preserve">A six-factor explainable stock analysis</w:t>
      </w:r>
      <w:r>
        <w:rPr>
          <w:rFonts w:ascii="Calibri" w:cs="Calibri" w:eastAsia="Calibri" w:hAnsi="Calibri"/>
          <w:b w:val="false"/>
          <w:bCs w:val="false"/>
          <w:i w:val="false"/>
          <w:iCs w:val="false"/>
          <w:color w:val="1C2321"/>
          <w:sz w:val="21"/>
          <w:szCs w:val="21"/>
        </w:rPr>
        <w:t xml:space="preserve"> with side-by-side sector peer comparison and a geopolitical exposure reading grounded in official trade data.</w:t>
      </w:r>
    </w:p>
    <w:p>
      <w:pPr>
        <w:pStyle w:val="ListParagraph"/>
        <w:numPr>
          <w:ilvl w:val="0"/>
          <w:numId w:val="2"/>
        </w:numPr>
        <w:spacing w:after="70" w:line="276"/>
      </w:pPr>
      <w:r>
        <w:rPr>
          <w:rFonts w:ascii="Calibri" w:cs="Calibri" w:eastAsia="Calibri" w:hAnsi="Calibri"/>
          <w:b/>
          <w:bCs/>
          <w:i w:val="false"/>
          <w:iCs w:val="false"/>
          <w:color w:val="1C2321"/>
          <w:sz w:val="21"/>
          <w:szCs w:val="21"/>
        </w:rPr>
        <w:t xml:space="preserve">A documented methodology and validation harness</w:t>
      </w:r>
      <w:r>
        <w:rPr>
          <w:rFonts w:ascii="Calibri" w:cs="Calibri" w:eastAsia="Calibri" w:hAnsi="Calibri"/>
          <w:b w:val="false"/>
          <w:bCs w:val="false"/>
          <w:i w:val="false"/>
          <w:iCs w:val="false"/>
          <w:color w:val="1C2321"/>
          <w:sz w:val="21"/>
          <w:szCs w:val="21"/>
        </w:rPr>
        <w:t xml:space="preserve"> reusable for other markets, factors or asset classes.</w:t>
      </w:r>
    </w:p>
    <w:p>
      <w:pPr>
        <w:pStyle w:val="Heading3"/>
        <w:spacing w:after="70" w:before="165"/>
      </w:pPr>
      <w:r>
        <w:rPr>
          <w:rFonts w:ascii="Calibri" w:cs="Calibri" w:eastAsia="Calibri" w:hAnsi="Calibri"/>
          <w:b/>
          <w:bCs/>
          <w:color w:val="A96A28"/>
          <w:sz w:val="21"/>
          <w:szCs w:val="21"/>
        </w:rPr>
        <w:t xml:space="preserve">Expected findings</w:t>
      </w:r>
    </w:p>
    <w:p>
      <w:pPr>
        <w:spacing w:after="110" w:line="276"/>
        <w:jc w:val="both"/>
      </w:pPr>
      <w:r>
        <w:rPr>
          <w:rFonts w:ascii="Calibri" w:cs="Calibri" w:eastAsia="Calibri" w:hAnsi="Calibri"/>
          <w:b w:val="false"/>
          <w:bCs w:val="false"/>
          <w:i w:val="false"/>
          <w:iCs w:val="false"/>
          <w:color w:val="1C2321"/>
          <w:sz w:val="21"/>
          <w:szCs w:val="21"/>
        </w:rPr>
        <w:t xml:space="preserve">Based on the initial build over eleven years of NSE data, the project expects to confirm a small number of genuine, economically explainable effects rather than a long list. The early run identified eleven statistically significant sector-month effects, including automobile outperformance in April, information technology outperformance in December, banking outperformance in October around Diwali, and information technology underperformance in April. Notably, several of these are negative effects, which naive averaging methods rarely report.</w:t>
      </w:r>
    </w:p>
    <w:p>
      <w:pPr>
        <w:spacing w:after="110" w:line="276"/>
        <w:jc w:val="both"/>
      </w:pPr>
      <w:r>
        <w:rPr>
          <w:rFonts w:ascii="Calibri" w:cs="Calibri" w:eastAsia="Calibri" w:hAnsi="Calibri"/>
          <w:b w:val="false"/>
          <w:bCs w:val="false"/>
          <w:i w:val="false"/>
          <w:iCs w:val="false"/>
          <w:color w:val="1C2321"/>
          <w:sz w:val="21"/>
          <w:szCs w:val="21"/>
        </w:rPr>
        <w:t xml:space="preserve">A realistic and equally valuable outcome is a partly negative result: that after correcting for market beta and testing properly, most popular Indian seasonality claims do not survive. The literature in Domain 2, and the project's own preliminary validation work in Section 4.4, both make this the expected direction. Reporting it honestly is a stated goal of the project rather than a failure of it.</w:t>
      </w:r>
    </w:p>
    <w:p>
      <w:pPr>
        <w:pStyle w:val="Heading3"/>
        <w:spacing w:after="70" w:before="165"/>
      </w:pPr>
      <w:r>
        <w:rPr>
          <w:rFonts w:ascii="Calibri" w:cs="Calibri" w:eastAsia="Calibri" w:hAnsi="Calibri"/>
          <w:b/>
          <w:bCs/>
          <w:color w:val="A96A28"/>
          <w:sz w:val="21"/>
          <w:szCs w:val="21"/>
        </w:rPr>
        <w:t xml:space="preserve">Outcome for the user</w:t>
      </w:r>
    </w:p>
    <w:p>
      <w:pPr>
        <w:spacing w:after="110" w:line="276"/>
        <w:jc w:val="both"/>
      </w:pPr>
      <w:r>
        <w:rPr>
          <w:rFonts w:ascii="Calibri" w:cs="Calibri" w:eastAsia="Calibri" w:hAnsi="Calibri"/>
          <w:b w:val="false"/>
          <w:bCs w:val="false"/>
          <w:i w:val="false"/>
          <w:iCs w:val="false"/>
          <w:color w:val="1C2321"/>
          <w:sz w:val="21"/>
          <w:szCs w:val="21"/>
        </w:rPr>
        <w:t xml:space="preserve">The end user gets a clear answer to a specific question — "is there a real seasonal pattern for this sector this month, how strong is it, how often has it held, and why does it happen?" — read alongside the stock's technical condition, fundamentals, peer standing, news tone and external exposures, with an explicit statement whenever the answer is no.</w:t>
      </w:r>
    </w:p>
    <w:p>
      <w:pPr>
        <w:pStyle w:val="Heading1"/>
        <w:pBdr>
          <w:bottom w:val="single" w:color="2F5D50" w:sz="8" w:space="4"/>
        </w:pBdr>
        <w:spacing w:after="150" w:before="340"/>
      </w:pPr>
      <w:r>
        <w:rPr>
          <w:rFonts w:ascii="Calibri" w:cs="Calibri" w:eastAsia="Calibri" w:hAnsi="Calibri"/>
          <w:b/>
          <w:bCs/>
          <w:color w:val="2F5D50"/>
          <w:sz w:val="27"/>
          <w:szCs w:val="27"/>
        </w:rPr>
        <w:t xml:space="preserve">6. Scope and Feasibility</w:t>
      </w:r>
    </w:p>
    <w:p>
      <w:pPr>
        <w:pStyle w:val="Heading2"/>
        <w:spacing w:after="90" w:before="230"/>
      </w:pPr>
      <w:r>
        <w:rPr>
          <w:rFonts w:ascii="Calibri" w:cs="Calibri" w:eastAsia="Calibri" w:hAnsi="Calibri"/>
          <w:b/>
          <w:bCs/>
          <w:color w:val="3E6B5E"/>
          <w:sz w:val="23"/>
          <w:szCs w:val="23"/>
        </w:rPr>
        <w:t xml:space="preserve">6.1 Scope</w:t>
      </w:r>
    </w:p>
    <w:tbl>
      <w:tblPr>
        <w:tblW w:type="dxa" w:w="9602"/>
        <w:tblBorders>
          <w:top w:val="single" w:color="B9C7C1" w:sz="4"/>
          <w:left w:val="single" w:color="B9C7C1" w:sz="4"/>
          <w:bottom w:val="single" w:color="B9C7C1" w:sz="4"/>
          <w:right w:val="single" w:color="B9C7C1" w:sz="4"/>
          <w:insideH w:val="single" w:color="B9C7C1" w:sz="4"/>
          <w:insideV w:val="single" w:color="B9C7C1" w:sz="4"/>
        </w:tblBorders>
      </w:tblPr>
      <w:tblGrid>
        <w:gridCol w:w="4801"/>
        <w:gridCol w:w="4801"/>
      </w:tblGrid>
      <w:tr>
        <w:trPr>
          <w:tblHeader/>
        </w:trPr>
        <w:tc>
          <w:tcPr>
            <w:tcW w:type="dxa" w:w="4801"/>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9"/>
                <w:szCs w:val="19"/>
              </w:rPr>
              <w:t xml:space="preserve">In scope</w:t>
            </w:r>
          </w:p>
        </w:tc>
        <w:tc>
          <w:tcPr>
            <w:tcW w:type="dxa" w:w="4801"/>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9"/>
                <w:szCs w:val="19"/>
              </w:rPr>
              <w:t xml:space="preserve">Out of scope</w:t>
            </w:r>
          </w:p>
        </w:tc>
      </w:tr>
      <w:tr>
        <w:trPr>
          <w:tblHeader w:val="false"/>
        </w:trPr>
        <w:tc>
          <w:tcPr>
            <w:tcW w:type="dxa" w:w="4801"/>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Indian listed equities — ten NSE sector indices and their constituents.</w:t>
            </w:r>
          </w:p>
        </w:tc>
        <w:tc>
          <w:tcPr>
            <w:tcW w:type="dxa" w:w="4801"/>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Non-Indian markets, commodities, currencies, fixed income and derivatives.</w:t>
            </w:r>
          </w:p>
        </w:tc>
      </w:tr>
      <w:tr>
        <w:trPr>
          <w:tblHeader w:val="false"/>
        </w:trPr>
        <w:tc>
          <w:tcPr>
            <w:tcW w:type="dxa" w:w="4801"/>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Monthly and quarterly seasonality, plus the Indian event calendar.</w:t>
            </w:r>
          </w:p>
        </w:tc>
        <w:tc>
          <w:tcPr>
            <w:tcW w:type="dxa" w:w="4801"/>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Intraday, day-of-week and turn-of-month effects.</w:t>
            </w:r>
          </w:p>
        </w:tc>
      </w:tr>
      <w:tr>
        <w:trPr>
          <w:tblHeader w:val="false"/>
        </w:trPr>
        <w:tc>
          <w:tcPr>
            <w:tcW w:type="dxa" w:w="4801"/>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Ten to eleven years of history (approximately 2015 to 2026).</w:t>
            </w:r>
          </w:p>
        </w:tc>
        <w:tc>
          <w:tcPr>
            <w:tcW w:type="dxa" w:w="4801"/>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Multi-decade history; long histories are affected by structural breaks in the Indian market.</w:t>
            </w:r>
          </w:p>
        </w:tc>
      </w:tr>
      <w:tr>
        <w:trPr>
          <w:tblHeader w:val="false"/>
        </w:trPr>
        <w:tc>
          <w:tcPr>
            <w:tcW w:type="dxa" w:w="4801"/>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Excess returns versus the Nifty 50 benchmark.</w:t>
            </w:r>
          </w:p>
        </w:tc>
        <w:tc>
          <w:tcPr>
            <w:tcW w:type="dxa" w:w="4801"/>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Multi-factor risk adjustment (Fama-French style attribution).</w:t>
            </w:r>
          </w:p>
        </w:tc>
      </w:tr>
      <w:tr>
        <w:trPr>
          <w:tblHeader w:val="false"/>
        </w:trPr>
        <w:tc>
          <w:tcPr>
            <w:tcW w:type="dxa" w:w="4801"/>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Six explanatory factors plus a machine-learning consensus on relative performance.</w:t>
            </w:r>
          </w:p>
        </w:tc>
        <w:tc>
          <w:tcPr>
            <w:tcW w:type="dxa" w:w="4801"/>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High-frequency, order-book or alternative-data modelling.</w:t>
            </w:r>
          </w:p>
        </w:tc>
      </w:tr>
      <w:tr>
        <w:trPr>
          <w:tblHeader w:val="false"/>
        </w:trPr>
        <w:tc>
          <w:tcPr>
            <w:tcW w:type="dxa" w:w="4801"/>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Geopolitical analysis as an explanatory layer grounded in official trade statistics.</w:t>
            </w:r>
          </w:p>
        </w:tc>
        <w:tc>
          <w:tcPr>
            <w:tcW w:type="dxa" w:w="4801"/>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Geopolitical event forecasting or automated escalation detection from live feeds.</w:t>
            </w:r>
          </w:p>
        </w:tc>
      </w:tr>
      <w:tr>
        <w:trPr>
          <w:tblHeader w:val="false"/>
        </w:trPr>
        <w:tc>
          <w:tcPr>
            <w:tcW w:type="dxa" w:w="4801"/>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Significance testing, edge ranking and out-of-sample persistence testing.</w:t>
            </w:r>
          </w:p>
        </w:tc>
        <w:tc>
          <w:tcPr>
            <w:tcW w:type="dxa" w:w="4801"/>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Live order execution, brokerage integration or portfolio accounting.</w:t>
            </w:r>
          </w:p>
        </w:tc>
      </w:tr>
      <w:tr>
        <w:trPr>
          <w:tblHeader w:val="false"/>
        </w:trPr>
        <w:tc>
          <w:tcPr>
            <w:tcW w:type="dxa" w:w="4801"/>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Educational and analytical output, clearly labelled as such.</w:t>
            </w:r>
          </w:p>
        </w:tc>
        <w:tc>
          <w:tcPr>
            <w:tcW w:type="dxa" w:w="4801"/>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Personalised investment advice or any regulated advisory function.</w:t>
            </w:r>
          </w:p>
        </w:tc>
      </w:tr>
    </w:tbl>
    <w:p>
      <w:pPr>
        <w:spacing w:after="200" w:before="60"/>
      </w:pPr>
      <w:r>
        <w:rPr>
          <w:rFonts w:ascii="Calibri" w:cs="Calibri" w:eastAsia="Calibri" w:hAnsi="Calibri"/>
          <w:i/>
          <w:iCs/>
          <w:color w:val="5E6B66"/>
          <w:sz w:val="18"/>
          <w:szCs w:val="18"/>
        </w:rPr>
        <w:t xml:space="preserve">Table 6.1 — Project boundaries.</w:t>
      </w:r>
    </w:p>
    <w:p>
      <w:pPr>
        <w:pStyle w:val="Heading2"/>
        <w:spacing w:after="90" w:before="230"/>
      </w:pPr>
      <w:r>
        <w:rPr>
          <w:rFonts w:ascii="Calibri" w:cs="Calibri" w:eastAsia="Calibri" w:hAnsi="Calibri"/>
          <w:b/>
          <w:bCs/>
          <w:color w:val="3E6B5E"/>
          <w:sz w:val="23"/>
          <w:szCs w:val="23"/>
        </w:rPr>
        <w:t xml:space="preserve">6.2 Feasibility</w:t>
      </w:r>
    </w:p>
    <w:p>
      <w:pPr>
        <w:pStyle w:val="Heading3"/>
        <w:spacing w:after="70" w:before="165"/>
      </w:pPr>
      <w:r>
        <w:rPr>
          <w:rFonts w:ascii="Calibri" w:cs="Calibri" w:eastAsia="Calibri" w:hAnsi="Calibri"/>
          <w:b/>
          <w:bCs/>
          <w:color w:val="A96A28"/>
          <w:sz w:val="21"/>
          <w:szCs w:val="21"/>
        </w:rPr>
        <w:t xml:space="preserve">Technical feasibility</w:t>
      </w:r>
    </w:p>
    <w:p>
      <w:pPr>
        <w:spacing w:after="110" w:line="276"/>
        <w:jc w:val="both"/>
      </w:pPr>
      <w:r>
        <w:rPr>
          <w:rFonts w:ascii="Calibri" w:cs="Calibri" w:eastAsia="Calibri" w:hAnsi="Calibri"/>
          <w:b w:val="false"/>
          <w:bCs w:val="false"/>
          <w:i w:val="false"/>
          <w:iCs w:val="false"/>
          <w:color w:val="1C2321"/>
          <w:sz w:val="21"/>
          <w:szCs w:val="21"/>
        </w:rPr>
        <w:t xml:space="preserve">The full technology stack is open source and already proven in an initial build. Data is retrieved through public market-data and official trade-statistics APIs, none of which require a paid subscription. Analysis uses pandas and NumPy for return computation, SciPy and statsmodels for the statistical tests, and scikit-learn and XGBoost for the machine-learning layer. The backend is Flask; the frontend is React. No GPU or specialised infrastructure is required for the core deliverable.</w:t>
      </w:r>
    </w:p>
    <w:p>
      <w:pPr>
        <w:pStyle w:val="Heading3"/>
        <w:spacing w:after="70" w:before="165"/>
      </w:pPr>
      <w:r>
        <w:rPr>
          <w:rFonts w:ascii="Calibri" w:cs="Calibri" w:eastAsia="Calibri" w:hAnsi="Calibri"/>
          <w:b/>
          <w:bCs/>
          <w:color w:val="A96A28"/>
          <w:sz w:val="21"/>
          <w:szCs w:val="21"/>
        </w:rPr>
        <w:t xml:space="preserve">Data feasibility</w:t>
      </w:r>
    </w:p>
    <w:p>
      <w:pPr>
        <w:spacing w:after="110" w:line="276"/>
        <w:jc w:val="both"/>
      </w:pPr>
      <w:r>
        <w:rPr>
          <w:rFonts w:ascii="Calibri" w:cs="Calibri" w:eastAsia="Calibri" w:hAnsi="Calibri"/>
          <w:b w:val="false"/>
          <w:bCs w:val="false"/>
          <w:i w:val="false"/>
          <w:iCs w:val="false"/>
          <w:color w:val="1C2321"/>
          <w:sz w:val="21"/>
          <w:szCs w:val="21"/>
        </w:rPr>
        <w:t xml:space="preserve">Ten to eleven years of daily price history for ten sector indices and the Nifty 50 is a small dataset by modern standards and is freely available. The one genuine data constraint is acknowledged openly: monthly seasonality gives only about ten to eleven observations per sector-month cell, and the out-of-sample split reduces this further. This limits statistical power and is the reason the project reports significance levels, sample sizes and win rates alongside every number rather than headline averages alone.</w:t>
      </w:r>
    </w:p>
    <w:p>
      <w:pPr>
        <w:pStyle w:val="Heading3"/>
        <w:spacing w:after="70" w:before="165"/>
      </w:pPr>
      <w:r>
        <w:rPr>
          <w:rFonts w:ascii="Calibri" w:cs="Calibri" w:eastAsia="Calibri" w:hAnsi="Calibri"/>
          <w:b/>
          <w:bCs/>
          <w:color w:val="A96A28"/>
          <w:sz w:val="21"/>
          <w:szCs w:val="21"/>
        </w:rPr>
        <w:t xml:space="preserve">Computational feasibility</w:t>
      </w:r>
    </w:p>
    <w:p>
      <w:pPr>
        <w:spacing w:after="110" w:line="276"/>
        <w:jc w:val="both"/>
      </w:pPr>
      <w:r>
        <w:rPr>
          <w:rFonts w:ascii="Calibri" w:cs="Calibri" w:eastAsia="Calibri" w:hAnsi="Calibri"/>
          <w:b w:val="false"/>
          <w:bCs w:val="false"/>
          <w:i w:val="false"/>
          <w:iCs w:val="false"/>
          <w:color w:val="1C2321"/>
          <w:sz w:val="21"/>
          <w:szCs w:val="21"/>
        </w:rPr>
        <w:t xml:space="preserve">The complete seasonal analysis — 120 cells, ten sectors, benchmark alignment and all t-tests — runs in well under a minute on a standard laptop. The machine-learning layer trains in minutes on a CPU. The heaviest operations are the initial data downloads and the transformer-based sentiment scoring, both of which are cached.</w:t>
      </w:r>
    </w:p>
    <w:p>
      <w:pPr>
        <w:pStyle w:val="Heading3"/>
        <w:spacing w:after="70" w:before="165"/>
      </w:pPr>
      <w:r>
        <w:rPr>
          <w:rFonts w:ascii="Calibri" w:cs="Calibri" w:eastAsia="Calibri" w:hAnsi="Calibri"/>
          <w:b/>
          <w:bCs/>
          <w:color w:val="A96A28"/>
          <w:sz w:val="21"/>
          <w:szCs w:val="21"/>
        </w:rPr>
        <w:t xml:space="preserve">Time feasibility</w:t>
      </w:r>
    </w:p>
    <w:p>
      <w:pPr>
        <w:spacing w:after="110" w:line="276"/>
        <w:jc w:val="both"/>
      </w:pPr>
      <w:r>
        <w:rPr>
          <w:rFonts w:ascii="Calibri" w:cs="Calibri" w:eastAsia="Calibri" w:hAnsi="Calibri"/>
          <w:b w:val="false"/>
          <w:bCs w:val="false"/>
          <w:i w:val="false"/>
          <w:iCs w:val="false"/>
          <w:color w:val="1C2321"/>
          <w:sz w:val="21"/>
          <w:szCs w:val="21"/>
        </w:rPr>
        <w:t xml:space="preserve">The work is scoped to fit one semester, and the feasibility case is strengthened materially by the fact that most of the pipeline in Table 4.2 is already prototyped. The remaining effort is consolidation of the validation results, interface completion, documentation and testing — all well-understood tasks with predictable duration.</w:t>
      </w:r>
    </w:p>
    <w:p>
      <w:pPr>
        <w:pStyle w:val="Heading3"/>
        <w:spacing w:after="70" w:before="165"/>
      </w:pPr>
      <w:r>
        <w:rPr>
          <w:rFonts w:ascii="Calibri" w:cs="Calibri" w:eastAsia="Calibri" w:hAnsi="Calibri"/>
          <w:b/>
          <w:bCs/>
          <w:color w:val="A96A28"/>
          <w:sz w:val="21"/>
          <w:szCs w:val="21"/>
        </w:rPr>
        <w:t xml:space="preserve">Risks and mitigation</w:t>
      </w:r>
    </w:p>
    <w:tbl>
      <w:tblPr>
        <w:tblW w:type="dxa" w:w="9602"/>
        <w:tblBorders>
          <w:top w:val="single" w:color="B9C7C1" w:sz="4"/>
          <w:left w:val="single" w:color="B9C7C1" w:sz="4"/>
          <w:bottom w:val="single" w:color="B9C7C1" w:sz="4"/>
          <w:right w:val="single" w:color="B9C7C1" w:sz="4"/>
          <w:insideH w:val="single" w:color="B9C7C1" w:sz="4"/>
          <w:insideV w:val="single" w:color="B9C7C1" w:sz="4"/>
        </w:tblBorders>
      </w:tblPr>
      <w:tblGrid>
        <w:gridCol w:w="3200"/>
        <w:gridCol w:w="3201"/>
        <w:gridCol w:w="3201"/>
      </w:tblGrid>
      <w:tr>
        <w:trPr>
          <w:tblHeader/>
        </w:trPr>
        <w:tc>
          <w:tcPr>
            <w:tcW w:type="dxa" w:w="3200"/>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9"/>
                <w:szCs w:val="19"/>
              </w:rPr>
              <w:t xml:space="preserve">Risk</w:t>
            </w:r>
          </w:p>
        </w:tc>
        <w:tc>
          <w:tcPr>
            <w:tcW w:type="dxa" w:w="3201"/>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9"/>
                <w:szCs w:val="19"/>
              </w:rPr>
              <w:t xml:space="preserve">Impact</w:t>
            </w:r>
          </w:p>
        </w:tc>
        <w:tc>
          <w:tcPr>
            <w:tcW w:type="dxa" w:w="3201"/>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9"/>
                <w:szCs w:val="19"/>
              </w:rPr>
              <w:t xml:space="preserve">Mitigation</w:t>
            </w:r>
          </w:p>
        </w:tc>
      </w:tr>
      <w:tr>
        <w:trPr>
          <w:tblHeader w:val="false"/>
        </w:trPr>
        <w:tc>
          <w:tcPr>
            <w:tcW w:type="dxa" w:w="32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Market-data source rate limits or schema changes.</w:t>
            </w:r>
          </w:p>
        </w:tc>
        <w:tc>
          <w:tcPr>
            <w:tcW w:type="dxa" w:w="3201"/>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Analysis cannot refresh.</w:t>
            </w:r>
          </w:p>
        </w:tc>
        <w:tc>
          <w:tcPr>
            <w:tcW w:type="dxa" w:w="3201"/>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Local caching of every downloaded series; fallback from sector index to an equal-weighted basket of constituents, already implemented.</w:t>
            </w:r>
          </w:p>
        </w:tc>
      </w:tr>
      <w:tr>
        <w:trPr>
          <w:tblHeader w:val="false"/>
        </w:trPr>
        <w:tc>
          <w:tcPr>
            <w:tcW w:type="dxa" w:w="32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Small sample per sector-month cell reduces statistical power.</w:t>
            </w:r>
          </w:p>
        </w:tc>
        <w:tc>
          <w:tcPr>
            <w:tcW w:type="dxa" w:w="3201"/>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Genuine effects may be missed; weak effects may be overstated.</w:t>
            </w:r>
          </w:p>
        </w:tc>
        <w:tc>
          <w:tcPr>
            <w:tcW w:type="dxa" w:w="3201"/>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Report p-values, sample counts and win rates with every result; use a stated significance bar; validate out of sample.</w:t>
            </w:r>
          </w:p>
        </w:tc>
      </w:tr>
      <w:tr>
        <w:trPr>
          <w:tblHeader w:val="false"/>
        </w:trPr>
        <w:tc>
          <w:tcPr>
            <w:tcW w:type="dxa" w:w="32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Multiple testing across 120 cells produces false positives.</w:t>
            </w:r>
          </w:p>
        </w:tc>
        <w:tc>
          <w:tcPr>
            <w:tcW w:type="dxa" w:w="3201"/>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Chance patterns reported as real.</w:t>
            </w:r>
          </w:p>
        </w:tc>
        <w:tc>
          <w:tcPr>
            <w:tcW w:type="dxa" w:w="3201"/>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Document the expected number of false positives explicitly; require an economic driver and out-of-sample persistence before a pattern is presented with confidence.</w:t>
            </w:r>
          </w:p>
        </w:tc>
      </w:tr>
      <w:tr>
        <w:trPr>
          <w:tblHeader w:val="false"/>
        </w:trPr>
        <w:tc>
          <w:tcPr>
            <w:tcW w:type="dxa" w:w="32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Patterns fail to persist out of sample.</w:t>
            </w:r>
          </w:p>
        </w:tc>
        <w:tc>
          <w:tcPr>
            <w:tcW w:type="dxa" w:w="3201"/>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Core hypothesis partly disconfirmed.</w:t>
            </w:r>
          </w:p>
        </w:tc>
        <w:tc>
          <w:tcPr>
            <w:tcW w:type="dxa" w:w="3201"/>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Treated as a valid and reportable finding, not a failure. The negative result is part of the deliverable, consistent with Section 4.4.</w:t>
            </w:r>
          </w:p>
        </w:tc>
      </w:tr>
      <w:tr>
        <w:trPr>
          <w:tblHeader w:val="false"/>
        </w:trPr>
        <w:tc>
          <w:tcPr>
            <w:tcW w:type="dxa" w:w="32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Scope creep across the surrounding modules.</w:t>
            </w:r>
          </w:p>
        </w:tc>
        <w:tc>
          <w:tcPr>
            <w:tcW w:type="dxa" w:w="3201"/>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Core seasonal deliverable delayed.</w:t>
            </w:r>
          </w:p>
        </w:tc>
        <w:tc>
          <w:tcPr>
            <w:tcW w:type="dxa" w:w="3201"/>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The seasonal engine and its validation are scheduled first; supporting modules are already prototyped and are refined, not rebuilt.</w:t>
            </w:r>
          </w:p>
        </w:tc>
      </w:tr>
    </w:tbl>
    <w:p>
      <w:pPr>
        <w:spacing w:after="200" w:before="60"/>
      </w:pPr>
      <w:r>
        <w:rPr>
          <w:rFonts w:ascii="Calibri" w:cs="Calibri" w:eastAsia="Calibri" w:hAnsi="Calibri"/>
          <w:i/>
          <w:iCs/>
          <w:color w:val="5E6B66"/>
          <w:sz w:val="18"/>
          <w:szCs w:val="18"/>
        </w:rPr>
        <w:t xml:space="preserve">Table 6.2 — Principal risks and mitigation.</w:t>
      </w:r>
    </w:p>
    <w:p>
      <w:pPr>
        <w:pageBreakBefore/>
      </w:pPr>
    </w:p>
    <w:p>
      <w:pPr>
        <w:pStyle w:val="Heading1"/>
        <w:pBdr>
          <w:bottom w:val="single" w:color="2F5D50" w:sz="8" w:space="4"/>
        </w:pBdr>
        <w:spacing w:after="150" w:before="340"/>
      </w:pPr>
      <w:r>
        <w:rPr>
          <w:rFonts w:ascii="Calibri" w:cs="Calibri" w:eastAsia="Calibri" w:hAnsi="Calibri"/>
          <w:b/>
          <w:bCs/>
          <w:color w:val="2F5D50"/>
          <w:sz w:val="27"/>
          <w:szCs w:val="27"/>
        </w:rPr>
        <w:t xml:space="preserve">7. Preliminary Work Plan</w:t>
      </w:r>
    </w:p>
    <w:p>
      <w:pPr>
        <w:pStyle w:val="Heading2"/>
        <w:spacing w:after="90" w:before="230"/>
      </w:pPr>
      <w:r>
        <w:rPr>
          <w:rFonts w:ascii="Calibri" w:cs="Calibri" w:eastAsia="Calibri" w:hAnsi="Calibri"/>
          <w:b/>
          <w:bCs/>
          <w:color w:val="3E6B5E"/>
          <w:sz w:val="23"/>
          <w:szCs w:val="23"/>
        </w:rPr>
        <w:t xml:space="preserve">7.1 Phases and Timeline</w:t>
      </w:r>
    </w:p>
    <w:p>
      <w:pPr>
        <w:spacing w:after="110" w:line="276"/>
        <w:jc w:val="both"/>
      </w:pPr>
      <w:r>
        <w:rPr>
          <w:rFonts w:ascii="Calibri" w:cs="Calibri" w:eastAsia="Calibri" w:hAnsi="Calibri"/>
          <w:b w:val="false"/>
          <w:bCs w:val="false"/>
          <w:i w:val="false"/>
          <w:iCs w:val="false"/>
          <w:color w:val="1C2321"/>
          <w:sz w:val="21"/>
          <w:szCs w:val="21"/>
        </w:rPr>
        <w:t xml:space="preserve">The work is organised into six phases across a fourteen-week semester, aligned to the three review milestones.</w:t>
      </w:r>
    </w:p>
    <w:tbl>
      <w:tblPr>
        <w:tblW w:type="dxa" w:w="9602"/>
        <w:tblBorders>
          <w:top w:val="single" w:color="B9C7C1" w:sz="4"/>
          <w:left w:val="single" w:color="B9C7C1" w:sz="4"/>
          <w:bottom w:val="single" w:color="B9C7C1" w:sz="4"/>
          <w:right w:val="single" w:color="B9C7C1" w:sz="4"/>
          <w:insideH w:val="single" w:color="B9C7C1" w:sz="4"/>
          <w:insideV w:val="single" w:color="B9C7C1" w:sz="4"/>
        </w:tblBorders>
      </w:tblPr>
      <w:tblGrid>
        <w:gridCol w:w="1000"/>
        <w:gridCol w:w="1400"/>
        <w:gridCol w:w="3000"/>
        <w:gridCol w:w="2450"/>
        <w:gridCol w:w="1752"/>
      </w:tblGrid>
      <w:tr>
        <w:trPr>
          <w:tblHeader/>
        </w:trPr>
        <w:tc>
          <w:tcPr>
            <w:tcW w:type="dxa" w:w="1000"/>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9"/>
                <w:szCs w:val="19"/>
              </w:rPr>
              <w:t xml:space="preserve">Phase</w:t>
            </w:r>
          </w:p>
        </w:tc>
        <w:tc>
          <w:tcPr>
            <w:tcW w:type="dxa" w:w="1400"/>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9"/>
                <w:szCs w:val="19"/>
              </w:rPr>
              <w:t xml:space="preserve">Weeks</w:t>
            </w:r>
          </w:p>
        </w:tc>
        <w:tc>
          <w:tcPr>
            <w:tcW w:type="dxa" w:w="3000"/>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9"/>
                <w:szCs w:val="19"/>
              </w:rPr>
              <w:t xml:space="preserve">Activity</w:t>
            </w:r>
          </w:p>
        </w:tc>
        <w:tc>
          <w:tcPr>
            <w:tcW w:type="dxa" w:w="2450"/>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9"/>
                <w:szCs w:val="19"/>
              </w:rPr>
              <w:t xml:space="preserve">Deliverable</w:t>
            </w:r>
          </w:p>
        </w:tc>
        <w:tc>
          <w:tcPr>
            <w:tcW w:type="dxa" w:w="1752"/>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9"/>
                <w:szCs w:val="19"/>
              </w:rPr>
              <w:t xml:space="preserve">Owner</w:t>
            </w:r>
          </w:p>
        </w:tc>
      </w:tr>
      <w:tr>
        <w:trPr>
          <w:tblHeader w:val="false"/>
        </w:trPr>
        <w:tc>
          <w:tcPr>
            <w:tcW w:type="dxa" w:w="10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P1</w:t>
            </w:r>
          </w:p>
        </w:tc>
        <w:tc>
          <w:tcPr>
            <w:tcW w:type="dxa" w:w="14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Weeks 1-2</w:t>
            </w:r>
          </w:p>
        </w:tc>
        <w:tc>
          <w:tcPr>
            <w:tcW w:type="dxa" w:w="30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Problem definition, literature survey across the three domains, system design and scope finalisation.</w:t>
            </w:r>
          </w:p>
        </w:tc>
        <w:tc>
          <w:tcPr>
            <w:tcW w:type="dxa" w:w="245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Review 1 report and presentation.</w:t>
            </w:r>
          </w:p>
        </w:tc>
        <w:tc>
          <w:tcPr>
            <w:tcW w:type="dxa" w:w="175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All members</w:t>
            </w:r>
          </w:p>
        </w:tc>
      </w:tr>
      <w:tr>
        <w:trPr>
          <w:tblHeader w:val="false"/>
        </w:trPr>
        <w:tc>
          <w:tcPr>
            <w:tcW w:type="dxa" w:w="10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P2</w:t>
            </w:r>
          </w:p>
        </w:tc>
        <w:tc>
          <w:tcPr>
            <w:tcW w:type="dxa" w:w="14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Weeks 3-4</w:t>
            </w:r>
          </w:p>
        </w:tc>
        <w:tc>
          <w:tcPr>
            <w:tcW w:type="dxa" w:w="30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Data layer — sector, constituent and benchmark retrieval, cleaning, caching, monthly return construction.</w:t>
            </w:r>
          </w:p>
        </w:tc>
        <w:tc>
          <w:tcPr>
            <w:tcW w:type="dxa" w:w="245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Working data layer with cached series.</w:t>
            </w:r>
          </w:p>
        </w:tc>
        <w:tc>
          <w:tcPr>
            <w:tcW w:type="dxa" w:w="175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Role A</w:t>
            </w:r>
          </w:p>
        </w:tc>
      </w:tr>
      <w:tr>
        <w:trPr>
          <w:tblHeader w:val="false"/>
        </w:trPr>
        <w:tc>
          <w:tcPr>
            <w:tcW w:type="dxa" w:w="10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P3</w:t>
            </w:r>
          </w:p>
        </w:tc>
        <w:tc>
          <w:tcPr>
            <w:tcW w:type="dxa" w:w="14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Weeks 5-7</w:t>
            </w:r>
          </w:p>
        </w:tc>
        <w:tc>
          <w:tcPr>
            <w:tcW w:type="dxa" w:w="30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Seasonal engine — excess returns, t-tests on all 120 cells, edge ranking, event-calendar mapping.</w:t>
            </w:r>
          </w:p>
        </w:tc>
        <w:tc>
          <w:tcPr>
            <w:tcW w:type="dxa" w:w="245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Seasonal analysis engine.</w:t>
            </w:r>
          </w:p>
        </w:tc>
        <w:tc>
          <w:tcPr>
            <w:tcW w:type="dxa" w:w="175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Role B</w:t>
            </w:r>
          </w:p>
        </w:tc>
      </w:tr>
      <w:tr>
        <w:trPr>
          <w:tblHeader w:val="false"/>
        </w:trPr>
        <w:tc>
          <w:tcPr>
            <w:tcW w:type="dxa" w:w="10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P4</w:t>
            </w:r>
          </w:p>
        </w:tc>
        <w:tc>
          <w:tcPr>
            <w:tcW w:type="dxa" w:w="14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Weeks 8-9</w:t>
            </w:r>
          </w:p>
        </w:tc>
        <w:tc>
          <w:tcPr>
            <w:tcW w:type="dxa" w:w="30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Validation — in-sample discovery, out-of-sample persistence, baseline comparison, corrected significance testing.</w:t>
            </w:r>
          </w:p>
        </w:tc>
        <w:tc>
          <w:tcPr>
            <w:tcW w:type="dxa" w:w="245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Validation report. Review 2.</w:t>
            </w:r>
          </w:p>
        </w:tc>
        <w:tc>
          <w:tcPr>
            <w:tcW w:type="dxa" w:w="175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Roles B and C</w:t>
            </w:r>
          </w:p>
        </w:tc>
      </w:tr>
      <w:tr>
        <w:trPr>
          <w:tblHeader w:val="false"/>
        </w:trPr>
        <w:tc>
          <w:tcPr>
            <w:tcW w:type="dxa" w:w="10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P5</w:t>
            </w:r>
          </w:p>
        </w:tc>
        <w:tc>
          <w:tcPr>
            <w:tcW w:type="dxa" w:w="14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Weeks 10-12</w:t>
            </w:r>
          </w:p>
        </w:tc>
        <w:tc>
          <w:tcPr>
            <w:tcW w:type="dxa" w:w="30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Surrounding modules and interface — six-factor engine, peer comparison, sentiment, geopolitical views, seasonal heatmap and edge panels.</w:t>
            </w:r>
          </w:p>
        </w:tc>
        <w:tc>
          <w:tcPr>
            <w:tcW w:type="dxa" w:w="245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Full working application.</w:t>
            </w:r>
          </w:p>
        </w:tc>
        <w:tc>
          <w:tcPr>
            <w:tcW w:type="dxa" w:w="175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Roles A and C</w:t>
            </w:r>
          </w:p>
        </w:tc>
      </w:tr>
      <w:tr>
        <w:trPr>
          <w:tblHeader w:val="false"/>
        </w:trPr>
        <w:tc>
          <w:tcPr>
            <w:tcW w:type="dxa" w:w="10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P6</w:t>
            </w:r>
          </w:p>
        </w:tc>
        <w:tc>
          <w:tcPr>
            <w:tcW w:type="dxa" w:w="14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Weeks 13-14</w:t>
            </w:r>
          </w:p>
        </w:tc>
        <w:tc>
          <w:tcPr>
            <w:tcW w:type="dxa" w:w="30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Testing, documentation, results consolidation, final report and demonstration.</w:t>
            </w:r>
          </w:p>
        </w:tc>
        <w:tc>
          <w:tcPr>
            <w:tcW w:type="dxa" w:w="245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Final report. Review 3.</w:t>
            </w:r>
          </w:p>
        </w:tc>
        <w:tc>
          <w:tcPr>
            <w:tcW w:type="dxa" w:w="175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All members</w:t>
            </w:r>
          </w:p>
        </w:tc>
      </w:tr>
    </w:tbl>
    <w:p>
      <w:pPr>
        <w:spacing w:after="200" w:before="60"/>
      </w:pPr>
      <w:r>
        <w:rPr>
          <w:rFonts w:ascii="Calibri" w:cs="Calibri" w:eastAsia="Calibri" w:hAnsi="Calibri"/>
          <w:i/>
          <w:iCs/>
          <w:color w:val="5E6B66"/>
          <w:sz w:val="18"/>
          <w:szCs w:val="18"/>
        </w:rPr>
        <w:t xml:space="preserve">Table 7.1 — Phase-wise plan and ownership.</w:t>
      </w:r>
    </w:p>
    <w:p>
      <w:pPr>
        <w:pStyle w:val="Heading2"/>
        <w:spacing w:after="90" w:before="230"/>
      </w:pPr>
      <w:r>
        <w:rPr>
          <w:rFonts w:ascii="Calibri" w:cs="Calibri" w:eastAsia="Calibri" w:hAnsi="Calibri"/>
          <w:b/>
          <w:bCs/>
          <w:color w:val="3E6B5E"/>
          <w:sz w:val="23"/>
          <w:szCs w:val="23"/>
        </w:rPr>
        <w:t xml:space="preserve">7.2 Milestones</w:t>
      </w:r>
    </w:p>
    <w:tbl>
      <w:tblPr>
        <w:tblW w:type="dxa" w:w="9602"/>
        <w:tblBorders>
          <w:top w:val="single" w:color="B9C7C1" w:sz="4"/>
          <w:left w:val="single" w:color="B9C7C1" w:sz="4"/>
          <w:bottom w:val="single" w:color="B9C7C1" w:sz="4"/>
          <w:right w:val="single" w:color="B9C7C1" w:sz="4"/>
          <w:insideH w:val="single" w:color="B9C7C1" w:sz="4"/>
          <w:insideV w:val="single" w:color="B9C7C1" w:sz="4"/>
        </w:tblBorders>
      </w:tblPr>
      <w:tblGrid>
        <w:gridCol w:w="1600"/>
        <w:gridCol w:w="2400"/>
        <w:gridCol w:w="5602"/>
      </w:tblGrid>
      <w:tr>
        <w:trPr>
          <w:tblHeader/>
        </w:trPr>
        <w:tc>
          <w:tcPr>
            <w:tcW w:type="dxa" w:w="1600"/>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9"/>
                <w:szCs w:val="19"/>
              </w:rPr>
              <w:t xml:space="preserve">Milestone</w:t>
            </w:r>
          </w:p>
        </w:tc>
        <w:tc>
          <w:tcPr>
            <w:tcW w:type="dxa" w:w="2400"/>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9"/>
                <w:szCs w:val="19"/>
              </w:rPr>
              <w:t xml:space="preserve">Target</w:t>
            </w:r>
          </w:p>
        </w:tc>
        <w:tc>
          <w:tcPr>
            <w:tcW w:type="dxa" w:w="5602"/>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9"/>
                <w:szCs w:val="19"/>
              </w:rPr>
              <w:t xml:space="preserve">Completion criterion</w:t>
            </w:r>
          </w:p>
        </w:tc>
      </w:tr>
      <w:tr>
        <w:trPr>
          <w:tblHeader w:val="false"/>
        </w:trPr>
        <w:tc>
          <w:tcPr>
            <w:tcW w:type="dxa" w:w="16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M1</w:t>
            </w:r>
          </w:p>
        </w:tc>
        <w:tc>
          <w:tcPr>
            <w:tcW w:type="dxa" w:w="24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End of Week 2</w:t>
            </w:r>
          </w:p>
        </w:tc>
        <w:tc>
          <w:tcPr>
            <w:tcW w:type="dxa" w:w="560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Problem statement, objectives, proposed architecture, scope and literature survey approved at Review 1.</w:t>
            </w:r>
          </w:p>
        </w:tc>
      </w:tr>
      <w:tr>
        <w:trPr>
          <w:tblHeader w:val="false"/>
        </w:trPr>
        <w:tc>
          <w:tcPr>
            <w:tcW w:type="dxa" w:w="16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M2</w:t>
            </w:r>
          </w:p>
        </w:tc>
        <w:tc>
          <w:tcPr>
            <w:tcW w:type="dxa" w:w="24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End of Week 4</w:t>
            </w:r>
          </w:p>
        </w:tc>
        <w:tc>
          <w:tcPr>
            <w:tcW w:type="dxa" w:w="560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Data layer retrieves and caches all ten sectors plus benchmark without manual intervention.</w:t>
            </w:r>
          </w:p>
        </w:tc>
      </w:tr>
      <w:tr>
        <w:trPr>
          <w:tblHeader w:val="false"/>
        </w:trPr>
        <w:tc>
          <w:tcPr>
            <w:tcW w:type="dxa" w:w="16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M3</w:t>
            </w:r>
          </w:p>
        </w:tc>
        <w:tc>
          <w:tcPr>
            <w:tcW w:type="dxa" w:w="24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End of Week 7</w:t>
            </w:r>
          </w:p>
        </w:tc>
        <w:tc>
          <w:tcPr>
            <w:tcW w:type="dxa" w:w="560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Seasonal engine produces excess returns, t-statistics, p-values and driver tags for all 120 cells.</w:t>
            </w:r>
          </w:p>
        </w:tc>
      </w:tr>
      <w:tr>
        <w:trPr>
          <w:tblHeader w:val="false"/>
        </w:trPr>
        <w:tc>
          <w:tcPr>
            <w:tcW w:type="dxa" w:w="16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M4</w:t>
            </w:r>
          </w:p>
        </w:tc>
        <w:tc>
          <w:tcPr>
            <w:tcW w:type="dxa" w:w="24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End of Week 9</w:t>
            </w:r>
          </w:p>
        </w:tc>
        <w:tc>
          <w:tcPr>
            <w:tcW w:type="dxa" w:w="560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Out-of-sample persistence measured and reported under the stated validation protocol; presented at Review 2.</w:t>
            </w:r>
          </w:p>
        </w:tc>
      </w:tr>
      <w:tr>
        <w:trPr>
          <w:tblHeader w:val="false"/>
        </w:trPr>
        <w:tc>
          <w:tcPr>
            <w:tcW w:type="dxa" w:w="16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M5</w:t>
            </w:r>
          </w:p>
        </w:tc>
        <w:tc>
          <w:tcPr>
            <w:tcW w:type="dxa" w:w="24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End of Week 12</w:t>
            </w:r>
          </w:p>
        </w:tc>
        <w:tc>
          <w:tcPr>
            <w:tcW w:type="dxa" w:w="560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Integrated application demonstrable end to end across all three views, including explicit no-signal reporting.</w:t>
            </w:r>
          </w:p>
        </w:tc>
      </w:tr>
      <w:tr>
        <w:trPr>
          <w:tblHeader w:val="false"/>
        </w:trPr>
        <w:tc>
          <w:tcPr>
            <w:tcW w:type="dxa" w:w="16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M6</w:t>
            </w:r>
          </w:p>
        </w:tc>
        <w:tc>
          <w:tcPr>
            <w:tcW w:type="dxa" w:w="24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End of Week 14</w:t>
            </w:r>
          </w:p>
        </w:tc>
        <w:tc>
          <w:tcPr>
            <w:tcW w:type="dxa" w:w="560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Final report, documentation and demonstration complete at Review 3.</w:t>
            </w:r>
          </w:p>
        </w:tc>
      </w:tr>
    </w:tbl>
    <w:p>
      <w:pPr>
        <w:spacing w:after="200" w:before="60"/>
      </w:pPr>
      <w:r>
        <w:rPr>
          <w:rFonts w:ascii="Calibri" w:cs="Calibri" w:eastAsia="Calibri" w:hAnsi="Calibri"/>
          <w:i/>
          <w:iCs/>
          <w:color w:val="5E6B66"/>
          <w:sz w:val="18"/>
          <w:szCs w:val="18"/>
        </w:rPr>
        <w:t xml:space="preserve">Table 7.2 — Milestones and completion criteria.</w:t>
      </w:r>
    </w:p>
    <w:p>
      <w:pPr>
        <w:pStyle w:val="Heading2"/>
        <w:spacing w:after="90" w:before="230"/>
      </w:pPr>
      <w:r>
        <w:rPr>
          <w:rFonts w:ascii="Calibri" w:cs="Calibri" w:eastAsia="Calibri" w:hAnsi="Calibri"/>
          <w:b/>
          <w:bCs/>
          <w:color w:val="3E6B5E"/>
          <w:sz w:val="23"/>
          <w:szCs w:val="23"/>
        </w:rPr>
        <w:t xml:space="preserve">7.3 Allocation of Responsibilities</w:t>
      </w:r>
    </w:p>
    <w:p>
      <w:pPr>
        <w:spacing w:after="110" w:line="276"/>
        <w:jc w:val="both"/>
      </w:pPr>
      <w:r>
        <w:rPr>
          <w:rFonts w:ascii="Calibri" w:cs="Calibri" w:eastAsia="Calibri" w:hAnsi="Calibri"/>
          <w:b w:val="false"/>
          <w:bCs w:val="false"/>
          <w:i w:val="false"/>
          <w:iCs w:val="false"/>
          <w:color w:val="1C2321"/>
          <w:sz w:val="21"/>
          <w:szCs w:val="21"/>
        </w:rPr>
        <w:t xml:space="preserve">Responsibilities are allocated by role. Each role owns its deliverable end to end, including its own testing and documentation.</w:t>
      </w:r>
    </w:p>
    <w:tbl>
      <w:tblPr>
        <w:tblW w:type="dxa" w:w="9602"/>
        <w:tblBorders>
          <w:top w:val="single" w:color="B9C7C1" w:sz="4"/>
          <w:left w:val="single" w:color="B9C7C1" w:sz="4"/>
          <w:bottom w:val="single" w:color="B9C7C1" w:sz="4"/>
          <w:right w:val="single" w:color="B9C7C1" w:sz="4"/>
          <w:insideH w:val="single" w:color="B9C7C1" w:sz="4"/>
          <w:insideV w:val="single" w:color="B9C7C1" w:sz="4"/>
        </w:tblBorders>
      </w:tblPr>
      <w:tblGrid>
        <w:gridCol w:w="1700"/>
        <w:gridCol w:w="3100"/>
        <w:gridCol w:w="4802"/>
      </w:tblGrid>
      <w:tr>
        <w:trPr>
          <w:tblHeader/>
        </w:trPr>
        <w:tc>
          <w:tcPr>
            <w:tcW w:type="dxa" w:w="1700"/>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9"/>
                <w:szCs w:val="19"/>
              </w:rPr>
              <w:t xml:space="preserve">Role</w:t>
            </w:r>
          </w:p>
        </w:tc>
        <w:tc>
          <w:tcPr>
            <w:tcW w:type="dxa" w:w="3100"/>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9"/>
                <w:szCs w:val="19"/>
              </w:rPr>
              <w:t xml:space="preserve">Area</w:t>
            </w:r>
          </w:p>
        </w:tc>
        <w:tc>
          <w:tcPr>
            <w:tcW w:type="dxa" w:w="4802"/>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9"/>
                <w:szCs w:val="19"/>
              </w:rPr>
              <w:t xml:space="preserve">Responsibilities</w:t>
            </w:r>
          </w:p>
        </w:tc>
      </w:tr>
      <w:tr>
        <w:trPr>
          <w:tblHeader w:val="false"/>
        </w:trPr>
        <w:tc>
          <w:tcPr>
            <w:tcW w:type="dxa" w:w="17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Role A</w:t>
            </w:r>
          </w:p>
        </w:tc>
        <w:tc>
          <w:tcPr>
            <w:tcW w:type="dxa" w:w="31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Data and integration</w:t>
            </w:r>
          </w:p>
        </w:tc>
        <w:tc>
          <w:tcPr>
            <w:tcW w:type="dxa" w:w="480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Data source integration, cleaning, caching, fallback handling, return construction, news and trade-statistics ingestion, data quality checks and data documentation.</w:t>
            </w:r>
          </w:p>
        </w:tc>
      </w:tr>
      <w:tr>
        <w:trPr>
          <w:tblHeader w:val="false"/>
        </w:trPr>
        <w:tc>
          <w:tcPr>
            <w:tcW w:type="dxa" w:w="17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Role B</w:t>
            </w:r>
          </w:p>
        </w:tc>
        <w:tc>
          <w:tcPr>
            <w:tcW w:type="dxa" w:w="31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Statistical analysis and modelling</w:t>
            </w:r>
          </w:p>
        </w:tc>
        <w:tc>
          <w:tcPr>
            <w:tcW w:type="dxa" w:w="480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Excess return methodology, significance testing, edge ranking, event-calendar design, out-of-sample validation design, machine-learning consensus layer and result interpretation.</w:t>
            </w:r>
          </w:p>
        </w:tc>
      </w:tr>
      <w:tr>
        <w:trPr>
          <w:tblHeader w:val="false"/>
        </w:trPr>
        <w:tc>
          <w:tcPr>
            <w:tcW w:type="dxa" w:w="17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Role C</w:t>
            </w:r>
          </w:p>
        </w:tc>
        <w:tc>
          <w:tcPr>
            <w:tcW w:type="dxa" w:w="31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Application and validation</w:t>
            </w:r>
          </w:p>
        </w:tc>
        <w:tc>
          <w:tcPr>
            <w:tcW w:type="dxa" w:w="480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Flask API, React interface, seasonal heatmap and edge panels, factor explainability, peer comparison and geopolitical views, integration testing, and independent review of the statistical results.</w:t>
            </w:r>
          </w:p>
        </w:tc>
      </w:tr>
      <w:tr>
        <w:trPr>
          <w:tblHeader w:val="false"/>
        </w:trPr>
        <w:tc>
          <w:tcPr>
            <w:tcW w:type="dxa" w:w="17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Shared</w:t>
            </w:r>
          </w:p>
        </w:tc>
        <w:tc>
          <w:tcPr>
            <w:tcW w:type="dxa" w:w="31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Documentation and reviews</w:t>
            </w:r>
          </w:p>
        </w:tc>
        <w:tc>
          <w:tcPr>
            <w:tcW w:type="dxa" w:w="480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9"/>
                <w:szCs w:val="19"/>
              </w:rPr>
              <w:t xml:space="preserve">Literature survey, report writing, review presentations, version control and final consolidation.</w:t>
            </w:r>
          </w:p>
        </w:tc>
      </w:tr>
    </w:tbl>
    <w:p>
      <w:pPr>
        <w:spacing w:after="200" w:before="60"/>
      </w:pPr>
      <w:r>
        <w:rPr>
          <w:rFonts w:ascii="Calibri" w:cs="Calibri" w:eastAsia="Calibri" w:hAnsi="Calibri"/>
          <w:i/>
          <w:iCs/>
          <w:color w:val="5E6B66"/>
          <w:sz w:val="18"/>
          <w:szCs w:val="18"/>
        </w:rPr>
        <w:t xml:space="preserve">Table 7.3 — Role-based allocation of responsibilities. Team member names are mapped to roles in the project register.</w:t>
      </w:r>
    </w:p>
    <w:p>
      <w:pPr>
        <w:pStyle w:val="Heading2"/>
        <w:spacing w:after="90" w:before="230"/>
      </w:pPr>
      <w:r>
        <w:rPr>
          <w:rFonts w:ascii="Calibri" w:cs="Calibri" w:eastAsia="Calibri" w:hAnsi="Calibri"/>
          <w:b/>
          <w:bCs/>
          <w:color w:val="3E6B5E"/>
          <w:sz w:val="23"/>
          <w:szCs w:val="23"/>
        </w:rPr>
        <w:t xml:space="preserve">7.4 Work Already Carried Out</w:t>
      </w:r>
    </w:p>
    <w:p>
      <w:pPr>
        <w:spacing w:after="110" w:line="276"/>
        <w:jc w:val="both"/>
      </w:pPr>
      <w:r>
        <w:rPr>
          <w:rFonts w:ascii="Calibri" w:cs="Calibri" w:eastAsia="Calibri" w:hAnsi="Calibri"/>
          <w:b w:val="false"/>
          <w:bCs w:val="false"/>
          <w:i w:val="false"/>
          <w:iCs w:val="false"/>
          <w:color w:val="1C2321"/>
          <w:sz w:val="21"/>
          <w:szCs w:val="21"/>
        </w:rPr>
        <w:t xml:space="preserve">Ahead of Review 1, a substantial proportion of the proposed design has been prototyped. This is reported here because it is the strongest evidence for the feasibility case in Section 6.</w:t>
      </w:r>
    </w:p>
    <w:tbl>
      <w:tblPr>
        <w:tblW w:type="dxa" w:w="9602"/>
        <w:tblBorders>
          <w:top w:val="single" w:color="B9C7C1" w:sz="4"/>
          <w:left w:val="single" w:color="B9C7C1" w:sz="4"/>
          <w:bottom w:val="single" w:color="B9C7C1" w:sz="4"/>
          <w:right w:val="single" w:color="B9C7C1" w:sz="4"/>
          <w:insideH w:val="single" w:color="B9C7C1" w:sz="4"/>
          <w:insideV w:val="single" w:color="B9C7C1" w:sz="4"/>
        </w:tblBorders>
      </w:tblPr>
      <w:tblGrid>
        <w:gridCol w:w="3400"/>
        <w:gridCol w:w="6202"/>
      </w:tblGrid>
      <w:tr>
        <w:trPr>
          <w:tblHeader/>
        </w:trPr>
        <w:tc>
          <w:tcPr>
            <w:tcW w:type="dxa" w:w="3400"/>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8"/>
                <w:szCs w:val="18"/>
              </w:rPr>
              <w:t xml:space="preserve">Area</w:t>
            </w:r>
          </w:p>
        </w:tc>
        <w:tc>
          <w:tcPr>
            <w:tcW w:type="dxa" w:w="6202"/>
            <w:tcBorders>
              <w:top w:val="single" w:color="B9C7C1" w:sz="4"/>
              <w:left w:val="single" w:color="B9C7C1" w:sz="4"/>
              <w:bottom w:val="single" w:color="B9C7C1" w:sz="4"/>
              <w:right w:val="single" w:color="B9C7C1" w:sz="4"/>
            </w:tcBorders>
            <w:shd w:fill="DFE9E4" w:color="auto" w:val="clear"/>
            <w:tcMar>
              <w:top w:type="dxa" w:w="70"/>
              <w:left w:type="dxa" w:w="90"/>
              <w:bottom w:type="dxa" w:w="70"/>
              <w:right w:type="dxa" w:w="90"/>
            </w:tcMar>
          </w:tcPr>
          <w:p>
            <w:pPr>
              <w:spacing w:after="0" w:line="250"/>
            </w:pPr>
            <w:r>
              <w:rPr>
                <w:rFonts w:ascii="Calibri" w:cs="Calibri" w:eastAsia="Calibri" w:hAnsi="Calibri"/>
                <w:b/>
                <w:bCs/>
                <w:color w:val="2F5D50"/>
                <w:sz w:val="18"/>
                <w:szCs w:val="18"/>
              </w:rPr>
              <w:t xml:space="preserve">What is already working</w:t>
            </w:r>
          </w:p>
        </w:tc>
      </w:tr>
      <w:tr>
        <w:trPr>
          <w:tblHeader w:val="false"/>
        </w:trPr>
        <w:tc>
          <w:tcPr>
            <w:tcW w:type="dxa" w:w="34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Data layer</w:t>
            </w:r>
          </w:p>
        </w:tc>
        <w:tc>
          <w:tcPr>
            <w:tcW w:type="dxa" w:w="620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Automated retrieval and caching for ten NSE sector indices, their constituents and the Nifty 50 benchmark, including the equal-weighted constituent-basket fallback when an index series is unavailable.</w:t>
            </w:r>
          </w:p>
        </w:tc>
      </w:tr>
      <w:tr>
        <w:trPr>
          <w:tblHeader w:val="false"/>
        </w:trPr>
        <w:tc>
          <w:tcPr>
            <w:tcW w:type="dxa" w:w="34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Seasonal engine</w:t>
            </w:r>
          </w:p>
        </w:tc>
        <w:tc>
          <w:tcPr>
            <w:tcW w:type="dxa" w:w="620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Excess-return computation and one-sample t-testing across all 120 sector-month cells, t-statistic edge ranking, and the India-specific seasonal event calendar mapped to sector-month pairs. An initial eleven-year run identified eleven statistically significant effects.</w:t>
            </w:r>
          </w:p>
        </w:tc>
      </w:tr>
      <w:tr>
        <w:trPr>
          <w:tblHeader w:val="false"/>
        </w:trPr>
        <w:tc>
          <w:tcPr>
            <w:tcW w:type="dxa" w:w="34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Seasonal validation</w:t>
            </w:r>
          </w:p>
        </w:tc>
        <w:tc>
          <w:tcPr>
            <w:tcW w:type="dxa" w:w="620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Discovery/holdout split harness written, measuring per-pattern persistence against an all-cells baseline; awaiting full result consolidation.</w:t>
            </w:r>
          </w:p>
        </w:tc>
      </w:tr>
      <w:tr>
        <w:trPr>
          <w:tblHeader w:val="false"/>
        </w:trPr>
        <w:tc>
          <w:tcPr>
            <w:tcW w:type="dxa" w:w="34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Multi-factor engine</w:t>
            </w:r>
          </w:p>
        </w:tc>
        <w:tc>
          <w:tcPr>
            <w:tcW w:type="dxa" w:w="620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Six independent factor readings — technical, fundamental, volumetric, sector, sentiment and geopolitical — consolidated into one score, each with a per-factor explanation of the inputs behind it.</w:t>
            </w:r>
          </w:p>
        </w:tc>
      </w:tr>
      <w:tr>
        <w:trPr>
          <w:tblHeader w:val="false"/>
        </w:trPr>
        <w:tc>
          <w:tcPr>
            <w:tcW w:type="dxa" w:w="34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Technical indicators</w:t>
            </w:r>
          </w:p>
        </w:tc>
        <w:tc>
          <w:tcPr>
            <w:tcW w:type="dxa" w:w="620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A full indicator suite covering momentum, trend, volatility, mean reversion and volume behaviour, reduced to a single interpretable technical reading with the contributing signals exposed.</w:t>
            </w:r>
          </w:p>
        </w:tc>
      </w:tr>
      <w:tr>
        <w:trPr>
          <w:tblHeader w:val="false"/>
        </w:trPr>
        <w:tc>
          <w:tcPr>
            <w:tcW w:type="dxa" w:w="34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Peer comparison</w:t>
            </w:r>
          </w:p>
        </w:tc>
        <w:tc>
          <w:tcPr>
            <w:tcW w:type="dxa" w:w="620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Same-sector cohort ranking that places the analysed stock side by side against its peers and surfaces better-performing alternatives when it is trailing the cohort.</w:t>
            </w:r>
          </w:p>
        </w:tc>
      </w:tr>
      <w:tr>
        <w:trPr>
          <w:tblHeader w:val="false"/>
        </w:trPr>
        <w:tc>
          <w:tcPr>
            <w:tcW w:type="dxa" w:w="34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News sentiment</w:t>
            </w:r>
          </w:p>
        </w:tc>
        <w:tc>
          <w:tcPr>
            <w:tcW w:type="dxa" w:w="620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Hybrid news retrieval with full-article extraction fallback, scored by a finance-domain transformer, producing separate stock and sector sentiment plus the divergence between them.</w:t>
            </w:r>
          </w:p>
        </w:tc>
      </w:tr>
      <w:tr>
        <w:trPr>
          <w:tblHeader w:val="false"/>
        </w:trPr>
        <w:tc>
          <w:tcPr>
            <w:tcW w:type="dxa" w:w="34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Geopolitical (War Room)</w:t>
            </w:r>
          </w:p>
        </w:tc>
        <w:tc>
          <w:tcPr>
            <w:tcW w:type="dxa" w:w="620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Retrieval-augmented conflict analysis over a curated knowledge base, grounded in official UN Comtrade customs statistics, tracing conflict to commodity to Indian sector to NSE ticker; plus a deterministic per-stock exposure factor derived from it.</w:t>
            </w:r>
          </w:p>
        </w:tc>
      </w:tr>
      <w:tr>
        <w:trPr>
          <w:tblHeader w:val="false"/>
        </w:trPr>
        <w:tc>
          <w:tcPr>
            <w:tcW w:type="dxa" w:w="34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Machine-learning layer</w:t>
            </w:r>
          </w:p>
        </w:tc>
        <w:tc>
          <w:tcPr>
            <w:tcW w:type="dxa" w:w="620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Three-model consensus over engineered price-derived features, targeting relative performance against the Nifty 50 over a twenty-session horizon, combined by soft voting.</w:t>
            </w:r>
          </w:p>
        </w:tc>
      </w:tr>
      <w:tr>
        <w:trPr>
          <w:tblHeader w:val="false"/>
        </w:trPr>
        <w:tc>
          <w:tcPr>
            <w:tcW w:type="dxa" w:w="3400"/>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Validation harness</w:t>
            </w:r>
          </w:p>
        </w:tc>
        <w:tc>
          <w:tcPr>
            <w:tcW w:type="dxa" w:w="6202"/>
            <w:tcBorders>
              <w:top w:val="single" w:color="B9C7C1" w:sz="4"/>
              <w:left w:val="single" w:color="B9C7C1" w:sz="4"/>
              <w:bottom w:val="single" w:color="B9C7C1" w:sz="4"/>
              <w:right w:val="single" w:color="B9C7C1" w:sz="4"/>
            </w:tcBorders>
            <w:shd w:fill="F1F5F3" w:color="auto" w:val="clear"/>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Purged, time-ordered walk-forward evaluation with an embargo, a planted-signal positive control, and autocorrelation-corrected significance testing — already used to produce the preliminary findings in Section 4.4.</w:t>
            </w:r>
          </w:p>
        </w:tc>
      </w:tr>
      <w:tr>
        <w:trPr>
          <w:tblHeader w:val="false"/>
        </w:trPr>
        <w:tc>
          <w:tcPr>
            <w:tcW w:type="dxa" w:w="3400"/>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Interface</w:t>
            </w:r>
          </w:p>
        </w:tc>
        <w:tc>
          <w:tcPr>
            <w:tcW w:type="dxa" w:w="6202"/>
            <w:tcBorders>
              <w:top w:val="single" w:color="B9C7C1" w:sz="4"/>
              <w:left w:val="single" w:color="B9C7C1" w:sz="4"/>
              <w:bottom w:val="single" w:color="B9C7C1" w:sz="4"/>
              <w:right w:val="single" w:color="B9C7C1" w:sz="4"/>
            </w:tcBorders>
            <w:tcMar>
              <w:top w:type="dxa" w:w="70"/>
              <w:left w:type="dxa" w:w="90"/>
              <w:bottom w:type="dxa" w:w="70"/>
              <w:right w:type="dxa" w:w="90"/>
            </w:tcMar>
          </w:tcPr>
          <w:p>
            <w:pPr>
              <w:spacing w:after="0" w:line="250"/>
            </w:pPr>
            <w:r>
              <w:rPr>
                <w:rFonts w:ascii="Calibri" w:cs="Calibri" w:eastAsia="Calibri" w:hAnsi="Calibri"/>
                <w:b w:val="false"/>
                <w:bCs w:val="false"/>
                <w:color w:val="1C2321"/>
                <w:sz w:val="18"/>
                <w:szCs w:val="18"/>
              </w:rPr>
              <w:t xml:space="preserve">Single-page application with Analysis, Seasonal and War Room views, interactive charting and per-factor explainability panels.</w:t>
            </w:r>
          </w:p>
        </w:tc>
      </w:tr>
    </w:tbl>
    <w:p>
      <w:pPr>
        <w:spacing w:after="200" w:before="60"/>
      </w:pPr>
      <w:r>
        <w:rPr>
          <w:rFonts w:ascii="Calibri" w:cs="Calibri" w:eastAsia="Calibri" w:hAnsi="Calibri"/>
          <w:i/>
          <w:iCs/>
          <w:color w:val="5E6B66"/>
          <w:sz w:val="18"/>
          <w:szCs w:val="18"/>
        </w:rPr>
        <w:t xml:space="preserve">Table 7.4 — Work already carried out at the time of Review 1.</w:t>
      </w:r>
    </w:p>
    <w:p>
      <w:pPr>
        <w:spacing w:after="110" w:line="276"/>
        <w:jc w:val="both"/>
      </w:pPr>
      <w:r>
        <w:rPr>
          <w:rFonts w:ascii="Calibri" w:cs="Calibri" w:eastAsia="Calibri" w:hAnsi="Calibri"/>
          <w:b w:val="false"/>
          <w:bCs w:val="false"/>
          <w:i w:val="false"/>
          <w:iCs w:val="false"/>
          <w:color w:val="1C2321"/>
          <w:sz w:val="21"/>
          <w:szCs w:val="21"/>
        </w:rPr>
        <w:t xml:space="preserve">The remaining work is therefore not construction from scratch but consolidation: completing the out-of-sample validation results, refining the interface, tightening the multiple-testing treatment, and documenting the methodology to the standard the literature in Domain 2 demands.</w:t>
      </w:r>
    </w:p>
    <w:p>
      <w:pPr>
        <w:pageBreakBefore/>
      </w:pPr>
    </w:p>
    <w:p>
      <w:pPr>
        <w:pStyle w:val="Heading1"/>
        <w:pBdr>
          <w:bottom w:val="single" w:color="2F5D50" w:sz="8" w:space="4"/>
        </w:pBdr>
        <w:spacing w:after="150" w:before="340"/>
      </w:pPr>
      <w:r>
        <w:rPr>
          <w:rFonts w:ascii="Calibri" w:cs="Calibri" w:eastAsia="Calibri" w:hAnsi="Calibri"/>
          <w:b/>
          <w:bCs/>
          <w:color w:val="2F5D50"/>
          <w:sz w:val="27"/>
          <w:szCs w:val="27"/>
        </w:rPr>
        <w:t xml:space="preserve">8. References</w:t>
      </w:r>
    </w:p>
    <w:p>
      <w:pPr>
        <w:spacing w:after="100" w:line="276"/>
        <w:ind w:left="576" w:hanging="576"/>
      </w:pPr>
      <w:r>
        <w:rPr>
          <w:rFonts w:ascii="Calibri" w:cs="Calibri" w:eastAsia="Calibri" w:hAnsi="Calibri"/>
          <w:b/>
          <w:bCs/>
          <w:color w:val="A96A28"/>
          <w:sz w:val="20"/>
          <w:szCs w:val="20"/>
        </w:rPr>
        <w:t xml:space="preserve">[1]  </w:t>
      </w:r>
      <w:r>
        <w:rPr>
          <w:rFonts w:ascii="Calibri" w:cs="Calibri" w:eastAsia="Calibri" w:hAnsi="Calibri"/>
          <w:color w:val="1C2321"/>
          <w:sz w:val="20"/>
          <w:szCs w:val="20"/>
        </w:rPr>
        <w:t xml:space="preserve">Avramov, D., Cheng, S., &amp; Metzker, L. (2023). Machine learning vs. economic restrictions: Evidence from stock return predictability. Management Science, 69(5), 2587-2619.</w:t>
      </w:r>
    </w:p>
    <w:p>
      <w:pPr>
        <w:spacing w:after="100" w:line="276"/>
        <w:ind w:left="576" w:hanging="576"/>
      </w:pPr>
      <w:r>
        <w:rPr>
          <w:rFonts w:ascii="Calibri" w:cs="Calibri" w:eastAsia="Calibri" w:hAnsi="Calibri"/>
          <w:b/>
          <w:bCs/>
          <w:color w:val="A96A28"/>
          <w:sz w:val="20"/>
          <w:szCs w:val="20"/>
        </w:rPr>
        <w:t xml:space="preserve">[2]  </w:t>
      </w:r>
      <w:r>
        <w:rPr>
          <w:rFonts w:ascii="Calibri" w:cs="Calibri" w:eastAsia="Calibri" w:hAnsi="Calibri"/>
          <w:color w:val="1C2321"/>
          <w:sz w:val="20"/>
          <w:szCs w:val="20"/>
        </w:rPr>
        <w:t xml:space="preserve">Bhatia, P., &amp; Chaudhary, N. (2024). Financial year and calendar year effects across Indian sectors: A revisit from investors perspective. Review of Professional Management. DOI: 10.1177/09728686241262103</w:t>
      </w:r>
    </w:p>
    <w:p>
      <w:pPr>
        <w:spacing w:after="100" w:line="276"/>
        <w:ind w:left="576" w:hanging="576"/>
      </w:pPr>
      <w:r>
        <w:rPr>
          <w:rFonts w:ascii="Calibri" w:cs="Calibri" w:eastAsia="Calibri" w:hAnsi="Calibri"/>
          <w:b/>
          <w:bCs/>
          <w:color w:val="A96A28"/>
          <w:sz w:val="20"/>
          <w:szCs w:val="20"/>
        </w:rPr>
        <w:t xml:space="preserve">[3]  </w:t>
      </w:r>
      <w:r>
        <w:rPr>
          <w:rFonts w:ascii="Calibri" w:cs="Calibri" w:eastAsia="Calibri" w:hAnsi="Calibri"/>
          <w:color w:val="1C2321"/>
          <w:sz w:val="20"/>
          <w:szCs w:val="20"/>
        </w:rPr>
        <w:t xml:space="preserve">Chen, A. Y. (2021). The limits of p-hacking: Some thought experiments. The Journal of Finance, 76(5), 2447-2480.</w:t>
      </w:r>
    </w:p>
    <w:p>
      <w:pPr>
        <w:spacing w:after="100" w:line="276"/>
        <w:ind w:left="576" w:hanging="576"/>
      </w:pPr>
      <w:r>
        <w:rPr>
          <w:rFonts w:ascii="Calibri" w:cs="Calibri" w:eastAsia="Calibri" w:hAnsi="Calibri"/>
          <w:b/>
          <w:bCs/>
          <w:color w:val="A96A28"/>
          <w:sz w:val="20"/>
          <w:szCs w:val="20"/>
        </w:rPr>
        <w:t xml:space="preserve">[4]  </w:t>
      </w:r>
      <w:r>
        <w:rPr>
          <w:rFonts w:ascii="Calibri" w:cs="Calibri" w:eastAsia="Calibri" w:hAnsi="Calibri"/>
          <w:color w:val="1C2321"/>
          <w:sz w:val="20"/>
          <w:szCs w:val="20"/>
        </w:rPr>
        <w:t xml:space="preserve">Chen, L., Pelger, M., &amp; Zhu, J. (2024). Deep learning in asset pricing. Management Science, 70(2), 714-750.</w:t>
      </w:r>
    </w:p>
    <w:p>
      <w:pPr>
        <w:spacing w:after="100" w:line="276"/>
        <w:ind w:left="576" w:hanging="576"/>
      </w:pPr>
      <w:r>
        <w:rPr>
          <w:rFonts w:ascii="Calibri" w:cs="Calibri" w:eastAsia="Calibri" w:hAnsi="Calibri"/>
          <w:b/>
          <w:bCs/>
          <w:color w:val="A96A28"/>
          <w:sz w:val="20"/>
          <w:szCs w:val="20"/>
        </w:rPr>
        <w:t xml:space="preserve">[5]  </w:t>
      </w:r>
      <w:r>
        <w:rPr>
          <w:rFonts w:ascii="Calibri" w:cs="Calibri" w:eastAsia="Calibri" w:hAnsi="Calibri"/>
          <w:color w:val="1C2321"/>
          <w:sz w:val="20"/>
          <w:szCs w:val="20"/>
        </w:rPr>
        <w:t xml:space="preserve">Elangovan, R., Irudayasamy, F. G., &amp; Parayitam, S. (2022). Month-of-the-year effect: Empirical evidence from Indian stock market. Asia-Pacific Financial Markets, 29(3), 449-476.</w:t>
      </w:r>
    </w:p>
    <w:p>
      <w:pPr>
        <w:spacing w:after="100" w:line="276"/>
        <w:ind w:left="576" w:hanging="576"/>
      </w:pPr>
      <w:r>
        <w:rPr>
          <w:rFonts w:ascii="Calibri" w:cs="Calibri" w:eastAsia="Calibri" w:hAnsi="Calibri"/>
          <w:b/>
          <w:bCs/>
          <w:color w:val="A96A28"/>
          <w:sz w:val="20"/>
          <w:szCs w:val="20"/>
        </w:rPr>
        <w:t xml:space="preserve">[6]  </w:t>
      </w:r>
      <w:r>
        <w:rPr>
          <w:rFonts w:ascii="Calibri" w:cs="Calibri" w:eastAsia="Calibri" w:hAnsi="Calibri"/>
          <w:color w:val="1C2321"/>
          <w:sz w:val="20"/>
          <w:szCs w:val="20"/>
        </w:rPr>
        <w:t xml:space="preserve">Gu, S., Kelly, B., &amp; Xiu, D. (2020). Empirical asset pricing via machine learning. The Review of Financial Studies, 33(5), 2223-2273.</w:t>
      </w:r>
    </w:p>
    <w:p>
      <w:pPr>
        <w:spacing w:after="100" w:line="276"/>
        <w:ind w:left="576" w:hanging="576"/>
      </w:pPr>
      <w:r>
        <w:rPr>
          <w:rFonts w:ascii="Calibri" w:cs="Calibri" w:eastAsia="Calibri" w:hAnsi="Calibri"/>
          <w:b/>
          <w:bCs/>
          <w:color w:val="A96A28"/>
          <w:sz w:val="20"/>
          <w:szCs w:val="20"/>
        </w:rPr>
        <w:t xml:space="preserve">[7]  </w:t>
      </w:r>
      <w:r>
        <w:rPr>
          <w:rFonts w:ascii="Calibri" w:cs="Calibri" w:eastAsia="Calibri" w:hAnsi="Calibri"/>
          <w:color w:val="1C2321"/>
          <w:sz w:val="20"/>
          <w:szCs w:val="20"/>
        </w:rPr>
        <w:t xml:space="preserve">Harvey, C. R., &amp; Liu, Y. (2020). False (and missed) discoveries in financial economics. The Journal of Finance, 75(5), 2503-2553.</w:t>
      </w:r>
    </w:p>
    <w:p>
      <w:pPr>
        <w:spacing w:after="100" w:line="276"/>
        <w:ind w:left="576" w:hanging="576"/>
      </w:pPr>
      <w:r>
        <w:rPr>
          <w:rFonts w:ascii="Calibri" w:cs="Calibri" w:eastAsia="Calibri" w:hAnsi="Calibri"/>
          <w:b/>
          <w:bCs/>
          <w:color w:val="A96A28"/>
          <w:sz w:val="20"/>
          <w:szCs w:val="20"/>
        </w:rPr>
        <w:t xml:space="preserve">[8]  </w:t>
      </w:r>
      <w:r>
        <w:rPr>
          <w:rFonts w:ascii="Calibri" w:cs="Calibri" w:eastAsia="Calibri" w:hAnsi="Calibri"/>
          <w:color w:val="1C2321"/>
          <w:sz w:val="20"/>
          <w:szCs w:val="20"/>
        </w:rPr>
        <w:t xml:space="preserve">Hou, K., Xue, C., &amp; Zhang, L. (2020). Replicating anomalies. The Review of Financial Studies, 33(5), 2019-2133.</w:t>
      </w:r>
    </w:p>
    <w:p>
      <w:pPr>
        <w:spacing w:after="100" w:line="276"/>
        <w:ind w:left="576" w:hanging="576"/>
      </w:pPr>
      <w:r>
        <w:rPr>
          <w:rFonts w:ascii="Calibri" w:cs="Calibri" w:eastAsia="Calibri" w:hAnsi="Calibri"/>
          <w:b/>
          <w:bCs/>
          <w:color w:val="A96A28"/>
          <w:sz w:val="20"/>
          <w:szCs w:val="20"/>
        </w:rPr>
        <w:t xml:space="preserve">[9]  </w:t>
      </w:r>
      <w:r>
        <w:rPr>
          <w:rFonts w:ascii="Calibri" w:cs="Calibri" w:eastAsia="Calibri" w:hAnsi="Calibri"/>
          <w:color w:val="1C2321"/>
          <w:sz w:val="20"/>
          <w:szCs w:val="20"/>
        </w:rPr>
        <w:t xml:space="preserve">Jensen, T. I., Kelly, B. T., &amp; Pedersen, L. H. (2023). Is there a replication crisis in finance? The Journal of Finance, 78(5), 2465-2518.</w:t>
      </w:r>
    </w:p>
    <w:p>
      <w:pPr>
        <w:spacing w:after="100" w:line="276"/>
        <w:ind w:left="576" w:hanging="576"/>
      </w:pPr>
      <w:r>
        <w:rPr>
          <w:rFonts w:ascii="Calibri" w:cs="Calibri" w:eastAsia="Calibri" w:hAnsi="Calibri"/>
          <w:b/>
          <w:bCs/>
          <w:color w:val="A96A28"/>
          <w:sz w:val="20"/>
          <w:szCs w:val="20"/>
        </w:rPr>
        <w:t xml:space="preserve">[10]  </w:t>
      </w:r>
      <w:r>
        <w:rPr>
          <w:rFonts w:ascii="Calibri" w:cs="Calibri" w:eastAsia="Calibri" w:hAnsi="Calibri"/>
          <w:color w:val="1C2321"/>
          <w:sz w:val="20"/>
          <w:szCs w:val="20"/>
        </w:rPr>
        <w:t xml:space="preserve">Keloharju, M., Linnainmaa, J. T., &amp; Nyberg, P. (2021). Are return seasonalities due to risk or mispricing? Journal of Financial Economics, 139(1), 138-161.</w:t>
      </w:r>
    </w:p>
    <w:p>
      <w:pPr>
        <w:spacing w:after="100" w:line="276"/>
        <w:ind w:left="576" w:hanging="576"/>
      </w:pPr>
      <w:r>
        <w:rPr>
          <w:rFonts w:ascii="Calibri" w:cs="Calibri" w:eastAsia="Calibri" w:hAnsi="Calibri"/>
          <w:b/>
          <w:bCs/>
          <w:color w:val="A96A28"/>
          <w:sz w:val="20"/>
          <w:szCs w:val="20"/>
        </w:rPr>
        <w:t xml:space="preserve">[11]  </w:t>
      </w:r>
      <w:r>
        <w:rPr>
          <w:rFonts w:ascii="Calibri" w:cs="Calibri" w:eastAsia="Calibri" w:hAnsi="Calibri"/>
          <w:color w:val="1C2321"/>
          <w:sz w:val="20"/>
          <w:szCs w:val="20"/>
        </w:rPr>
        <w:t xml:space="preserve">Leippold, M., Wang, Q., &amp; Zhou, W. (2022). Machine learning in the Chinese stock market. Journal of Financial Economics, 145(2), 64-82.</w:t>
      </w:r>
    </w:p>
    <w:p>
      <w:pPr>
        <w:spacing w:after="100" w:line="276"/>
        <w:ind w:left="576" w:hanging="576"/>
      </w:pPr>
      <w:r>
        <w:rPr>
          <w:rFonts w:ascii="Calibri" w:cs="Calibri" w:eastAsia="Calibri" w:hAnsi="Calibri"/>
          <w:b/>
          <w:bCs/>
          <w:color w:val="A96A28"/>
          <w:sz w:val="20"/>
          <w:szCs w:val="20"/>
        </w:rPr>
        <w:t xml:space="preserve">[12]  </w:t>
      </w:r>
      <w:r>
        <w:rPr>
          <w:rFonts w:ascii="Calibri" w:cs="Calibri" w:eastAsia="Calibri" w:hAnsi="Calibri"/>
          <w:color w:val="1C2321"/>
          <w:sz w:val="20"/>
          <w:szCs w:val="20"/>
        </w:rPr>
        <w:t xml:space="preserve">Page, D., McClelland, D., &amp; Auret, C. (2024). Machine learning style rotation - evidence from the Johannesburg Stock Exchange. Cogent Economics &amp; Finance, 12(1). DOI: 10.1080/23322039.2024.2402893</w:t>
      </w:r>
    </w:p>
    <w:p>
      <w:pPr>
        <w:spacing w:after="100" w:line="276"/>
        <w:ind w:left="576" w:hanging="576"/>
      </w:pPr>
      <w:r>
        <w:rPr>
          <w:rFonts w:ascii="Calibri" w:cs="Calibri" w:eastAsia="Calibri" w:hAnsi="Calibri"/>
          <w:b/>
          <w:bCs/>
          <w:color w:val="A96A28"/>
          <w:sz w:val="20"/>
          <w:szCs w:val="20"/>
        </w:rPr>
        <w:t xml:space="preserve">[13]  </w:t>
      </w:r>
      <w:r>
        <w:rPr>
          <w:rFonts w:ascii="Calibri" w:cs="Calibri" w:eastAsia="Calibri" w:hAnsi="Calibri"/>
          <w:color w:val="1C2321"/>
          <w:sz w:val="20"/>
          <w:szCs w:val="20"/>
        </w:rPr>
        <w:t xml:space="preserve">Shehadeh, A. A., &amp; Zheng, M. (2023). Calendar anomalies in stock market returns: Evidence from Middle East countries. International Review of Economics &amp; Finance, 88, 962-980.</w:t>
      </w:r>
    </w:p>
    <w:p>
      <w:pPr>
        <w:spacing w:after="100" w:line="276"/>
        <w:ind w:left="576" w:hanging="576"/>
      </w:pPr>
      <w:r>
        <w:rPr>
          <w:rFonts w:ascii="Calibri" w:cs="Calibri" w:eastAsia="Calibri" w:hAnsi="Calibri"/>
          <w:b/>
          <w:bCs/>
          <w:color w:val="A96A28"/>
          <w:sz w:val="20"/>
          <w:szCs w:val="20"/>
        </w:rPr>
        <w:t xml:space="preserve">[14]  </w:t>
      </w:r>
      <w:r>
        <w:rPr>
          <w:rFonts w:ascii="Calibri" w:cs="Calibri" w:eastAsia="Calibri" w:hAnsi="Calibri"/>
          <w:color w:val="1C2321"/>
          <w:sz w:val="20"/>
          <w:szCs w:val="20"/>
        </w:rPr>
        <w:t xml:space="preserve">Valadkhani, A., &amp; O'Mahony, B. (2024). Sector-specific calendar anomalies in the US equity market. International Review of Financial Analysis, 95, 103347.</w:t>
      </w:r>
    </w:p>
    <w:p>
      <w:pPr>
        <w:spacing w:after="100" w:line="276"/>
        <w:ind w:left="576" w:hanging="576"/>
      </w:pPr>
      <w:r>
        <w:rPr>
          <w:rFonts w:ascii="Calibri" w:cs="Calibri" w:eastAsia="Calibri" w:hAnsi="Calibri"/>
          <w:b/>
          <w:bCs/>
          <w:color w:val="A96A28"/>
          <w:sz w:val="20"/>
          <w:szCs w:val="20"/>
        </w:rPr>
        <w:t xml:space="preserve">[15]  </w:t>
      </w:r>
      <w:r>
        <w:rPr>
          <w:rFonts w:ascii="Calibri" w:cs="Calibri" w:eastAsia="Calibri" w:hAnsi="Calibri"/>
          <w:color w:val="1C2321"/>
          <w:sz w:val="20"/>
          <w:szCs w:val="20"/>
        </w:rPr>
        <w:t xml:space="preserve">Zakamulin, V. (2026). Calendar anomalies: Real patterns or data-mining artifacts? The North American Journal of Economics and Finance, 82, 102653.</w:t>
      </w:r>
    </w:p>
    <w:sectPr>
      <w:footerReference w:type="default" r:id="rId7"/>
      <w:pgSz w:w="11906" w:h="16838" w:orient="portrait"/>
      <w:pgMar w:top="1150" w:right="1150" w:bottom="11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E6B66"/>
        <w:sz w:val="17"/>
        <w:szCs w:val="17"/>
      </w:rPr>
      <w:t xml:space="preserve">Seasonal Analysis of Equities  |  Review 1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color w:val="A96A28"/>
        <w:sz w:val="16"/>
        <w:szCs w:val="16"/>
      </w:rPr>
    </w:lvl>
    <w:lvl w:ilvl="1" w15:tentative="1">
      <w:start w:val="1"/>
      <w:numFmt w:val="bullet"/>
      <w:lvlText w:val="◦"/>
      <w:lvlJc w:val="left"/>
      <w:pPr>
        <w:ind w:left="720" w:hanging="220"/>
      </w:pPr>
      <w:rPr>
        <w:rFonts w:ascii="Calibri" w:cs="Calibri" w:eastAsia="Calibri" w:hAnsi="Calibri"/>
        <w:color w:val="A96A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3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Seasonal Analysis of Equities - Review 1</dc:title>
  <dc:creator>Project Team</dc:creator>
  <cp:lastModifiedBy>Un-named</cp:lastModifiedBy>
  <cp:revision>1</cp:revision>
  <dcterms:created xsi:type="dcterms:W3CDTF">2026-08-18T17:20:58.647Z</dcterms:created>
  <dcterms:modified xsi:type="dcterms:W3CDTF">2026-08-18T17:20:58.648Z</dcterms:modified>
</cp:coreProperties>
</file>

<file path=docProps/custom.xml><?xml version="1.0" encoding="utf-8"?>
<Properties xmlns="http://schemas.openxmlformats.org/officeDocument/2006/custom-properties" xmlns:vt="http://schemas.openxmlformats.org/officeDocument/2006/docPropsVTypes"/>
</file>