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Manual de Usuario Scrum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comenzó como un Trabajo Especial de la materia “Metodología de Desarrollo de Software”, en el cual nos fue otorgado un </w:t>
      </w:r>
      <w:r w:rsidDel="00000000" w:rsidR="00000000" w:rsidRPr="00000000">
        <w:rPr>
          <w:sz w:val="24"/>
          <w:szCs w:val="24"/>
          <w:rtl w:val="0"/>
        </w:rPr>
        <w:t xml:space="preserve">“juego serio”</w:t>
      </w:r>
      <w:r w:rsidDel="00000000" w:rsidR="00000000" w:rsidRPr="00000000">
        <w:rPr>
          <w:sz w:val="24"/>
          <w:szCs w:val="24"/>
          <w:rtl w:val="0"/>
        </w:rPr>
        <w:t xml:space="preserve"> llamado Scrum Game. Como material adjunto se nos otorgó un manual donde se explicaba la instalación de Android Studio, plataforma en la que fue desarrollado el juego a fin de mover documentación correspondiente y correr todo el código preestablecido. En base a esto y a fin de reconocer las metodologías ágiles, su funcionamiento y ventajas a la hora de trabajar en un equipo de desarrollo, se nos solicitó agregar funcionalidades al juego.</w:t>
      </w:r>
    </w:p>
    <w:p w:rsidR="00000000" w:rsidDel="00000000" w:rsidP="00000000" w:rsidRDefault="00000000" w:rsidRPr="00000000" w14:paraId="00000005">
      <w:p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las funciones agregadas se encuentran las siguientes: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Mejorar la estética y jugabilidad del juego.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una tabla de posiciones con los puntajes de los jugadores.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Ofrecer insignias de logros por módulos completados en el juego.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los usuarios deban pedir acceso al juego.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una interfaz web para que el administrador pueda aceptar o rechazar jugadores.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Ofrecer una encuesta para obtener una retroalimentación por parte de los jugadores y ver qué aspectos del juego se pueden mejorar.</w:t>
      </w:r>
    </w:p>
    <w:p w:rsidR="00000000" w:rsidDel="00000000" w:rsidP="00000000" w:rsidRDefault="00000000" w:rsidRPr="00000000" w14:paraId="0000000C">
      <w:p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566.929133858267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poder visualizar o modificar este proyecto hay pequeños detalles que deberán tenerse en cuenta para su correcto funcionamiento, ya que nosotros desarrollamos la parte web: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Deberá tener instalado los programas que a continuación se detallan: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XAMPP: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https://www.apachefriends.org/es/index.html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Studio Code: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https://code.visualstudio.com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Ingresar a git y clonar el siguiente repositorio: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https://github.com/PauCasado/TPEspecialMetodologia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Entrar a XAMPP y habilitar los botones  Start de Apache y MySQL.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71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Dentro del trabajo clonado de github se encuentra una carpeta denominada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“Viejos Ágiles”</w:t>
      </w:r>
      <w:r w:rsidDel="00000000" w:rsidR="00000000" w:rsidRPr="00000000">
        <w:rPr>
          <w:sz w:val="24"/>
          <w:szCs w:val="24"/>
          <w:rtl w:val="0"/>
        </w:rPr>
        <w:t xml:space="preserve">. Copiar esa carpeta dentro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htdocs</w:t>
      </w:r>
      <w:r w:rsidDel="00000000" w:rsidR="00000000" w:rsidRPr="00000000">
        <w:rPr>
          <w:sz w:val="24"/>
          <w:szCs w:val="24"/>
          <w:rtl w:val="0"/>
        </w:rPr>
        <w:t xml:space="preserve">, ubicada dentro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disco c:/xampp.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proyecto clonado se encuentra un script de creación de la base de datos a crear. Para ingresar a la base de datos basta con acceder al botón Admin de MySQL ubicado en XAMPP.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30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 llevará a: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Luego hay dos manera de acceder a la base de datos: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Importando el archivo: apretar seleccionar archivo y elegir el script  de la base de datos de db_scrumgame ubicada en la carpeta ViejosAgiles/ddbb.</w:t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24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Creando la base de datos en phpMyAdmin</w:t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53050" cy="143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Luego apretando en la pestaña sql copias el código de script y ejecutas.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20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email que se utiliza en todo el proyecto es: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viejosagiles@gmail.com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y la contraseña es: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ViejosAgiles2020.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ingresar a la interfaz web como administrador lo deberán hacer con el usuario: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viejosagiles@gmail.com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y como contraseña: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admin.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configurar la opción de seguridad que restringe el envío de gmail deberás ingresar al mail con la cuenta correspondiente a través del siguiente link: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https://myaccount.google.com/lesssecureapps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 tendrás que activar el acceso de app menos segura.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center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Viejos Ágiles.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5731200</wp:posOffset>
          </wp:positionH>
          <wp:positionV relativeFrom="paragraph">
            <wp:posOffset>-228599</wp:posOffset>
          </wp:positionV>
          <wp:extent cx="570786" cy="570786"/>
          <wp:effectExtent b="0" l="0" r="0" t="0"/>
          <wp:wrapSquare wrapText="bothSides" distB="114300" distT="114300" distL="114300" distR="114300"/>
          <wp:docPr id="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0786" cy="57078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jc w:val="left"/>
      <w:rPr>
        <w:color w:val="999999"/>
      </w:rPr>
    </w:pPr>
    <w:r w:rsidDel="00000000" w:rsidR="00000000" w:rsidRPr="00000000">
      <w:rPr>
        <w:color w:val="999999"/>
        <w:rtl w:val="0"/>
      </w:rPr>
      <w:t xml:space="preserve">Metodología de Desarrollo de Software.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mailto:viejosagiles@gmail.com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meet.google.com/linkredirect?authuser=1&amp;dest=https%3A%2F%2Fmyaccount.google.com%2Flesssecureapps" TargetMode="External"/><Relationship Id="rId16" Type="http://schemas.openxmlformats.org/officeDocument/2006/relationships/hyperlink" Target="mailto:viejosagiles@gmail.com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www.apachefriends.org/es/index.html" TargetMode="External"/><Relationship Id="rId18" Type="http://schemas.openxmlformats.org/officeDocument/2006/relationships/header" Target="header1.xml"/><Relationship Id="rId7" Type="http://schemas.openxmlformats.org/officeDocument/2006/relationships/hyperlink" Target="https://code.visualstudio.com" TargetMode="External"/><Relationship Id="rId8" Type="http://schemas.openxmlformats.org/officeDocument/2006/relationships/hyperlink" Target="https://github.com/PauCasado/TPEspecialMetodologia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