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lang w:val="es-ES"/>
        </w:rPr>
      </w:pPr>
      <w:r>
        <w:rPr>
          <w:kern w:val="2"/>
          <w:lang w:val="es-ES"/>
        </w:rPr>
        <w:t>Tarea 1.1. Centros de datos</w:t>
      </w:r>
    </w:p>
    <w:p>
      <w:pPr>
        <w:pStyle w:val="Papertitle"/>
        <w:spacing w:beforeAutospacing="1" w:afterAutospacing="1"/>
        <w:rPr>
          <w:sz w:val="18"/>
          <w:szCs w:val="18"/>
          <w:lang w:val="es-ES"/>
        </w:rPr>
      </w:pPr>
      <w:r>
        <w:rPr>
          <w:sz w:val="18"/>
          <w:szCs w:val="18"/>
          <w:lang w:val="es-ES"/>
        </w:rPr>
        <w:t>Pau López Núñez (paulopnun@alu.edu.gva.es)</w:t>
      </w:r>
    </w:p>
    <w:p>
      <w:pPr>
        <w:pStyle w:val="Author"/>
        <w:spacing w:beforeAutospacing="1" w:after="40"/>
        <w:rPr>
          <w:sz w:val="18"/>
          <w:szCs w:val="18"/>
          <w:lang w:val="es-ES"/>
        </w:rPr>
      </w:pPr>
      <w:r>
        <w:rPr>
          <w:sz w:val="18"/>
          <w:szCs w:val="18"/>
          <w:lang w:val="es-ES"/>
        </w:rPr>
        <w:t>IES Juan de Garay (València)</w:t>
        <w:br/>
        <w:t>Curso de Especialización en Recursos y Servicios en la Nube</w:t>
        <w:br/>
        <w:t>Fundamentos y Configuración Inicial de Servicios en la Nube</w:t>
      </w:r>
    </w:p>
    <w:p>
      <w:pPr>
        <w:pStyle w:val="Author"/>
        <w:spacing w:beforeAutospacing="1" w:after="40"/>
        <w:jc w:val="both"/>
        <w:rPr>
          <w:lang w:val="es-ES"/>
        </w:rPr>
      </w:pPr>
      <w:r>
        <w:rPr>
          <w:sz w:val="18"/>
          <w:szCs w:val="18"/>
          <w:lang w:val="es-ES"/>
        </w:rPr>
        <w:t xml:space="preserve"> </w:t>
      </w:r>
    </w:p>
    <w:p>
      <w:pPr>
        <w:pStyle w:val="Abstract"/>
        <w:rPr>
          <w:i/>
          <w:i/>
          <w:iCs/>
          <w:lang w:val="es-ES"/>
        </w:rPr>
      </w:pPr>
      <w:r>
        <w:rPr>
          <w:i/>
          <w:iCs/>
          <w:lang w:val="es-ES"/>
        </w:rPr>
        <w:t>Resumen</w:t>
      </w:r>
      <w:r>
        <w:rPr>
          <w:lang w:val="es-ES"/>
        </w:rPr>
        <w:t>—En este trabajo se analiza el centro de datos Templus Valencia VAL01, situado en el Parque Tecnológico de Paterna, a partir de su ficha en DataCenterMap, de la web del operador y de otras fuentes públicas. Se recopilan sus características técnicas (capacidad, seguridad, redundancia, conectividad y servicios) y se hace una estimación de su impacto ambiental, con el objetivo de entender qué ofrece un CPD de este tipo a una organización que quiera llevar allí sus servicios.</w:t>
      </w:r>
    </w:p>
    <w:p>
      <w:pPr>
        <w:pStyle w:val="Keywords"/>
        <w:rPr>
          <w:lang w:val="es-ES"/>
        </w:rPr>
      </w:pPr>
      <w:r>
        <w:rPr>
          <w:lang w:val="es-ES"/>
        </w:rPr>
        <w:t>Palabras clave—centro de datos, colocation, Tier III, carrier-neutral, huella de carbono.</w:t>
      </w:r>
    </w:p>
    <w:p>
      <w:pPr>
        <w:pStyle w:val="Ttulo1"/>
      </w:pPr>
      <w:r>
        <w:t>Introducción</w:t>
      </w:r>
    </w:p>
    <w:p>
      <w:pPr>
        <w:pStyle w:val="Cuerpodetexto"/>
      </w:pPr>
      <w:r>
        <w:t>Un centro de procesamiento de datos (CPD) es un edificio preparado para alojar servidores y equipos de red en condiciones controladas: alimentación eléctrica estable y con respaldo, refrigeración, seguridad física y conexión a Internet de alta capacidad. Muchas empresas no construyen su propio CPD, sino que alquilan espacio en uno ya existente (colocation) o contratan directamente recursos virtuales, que es la base de la computación en la nube. Detrás de cualquier servicio cloud siempre hay un CPD físico en algún sitio.</w:t>
      </w:r>
    </w:p>
    <w:p>
      <w:pPr>
        <w:pStyle w:val="Cuerpodetexto"/>
      </w:pPr>
      <w:r>
        <w:t>Para localizar estos centros he usado DataCenterMap (www.datacentermap.com), un portal que recoge los CPD publicados por las propias compañías. Desde Database &gt; Data Centers aparece un mapa mundial con burbujas que agrupan los centros por zona; al acercarse a un país las burbujas se dividen hasta llegar a cada centro, y desde su ficha (View Profile) se consultan sus datos básicos y el enlace a la web del operador.</w:t>
      </w:r>
    </w:p>
    <w:p>
      <w:pPr>
        <w:pStyle w:val="Cuerpodetexto"/>
      </w:pPr>
      <w:r>
        <w:t>Dentro de España me centré en la zona de Valencia, donde aparecen once centros, y escogí Templus Valencia VAL01, en el Parque Tecnológico de Paterna. Lo elegí por cercanía, ya que me parecía más útil conocer la infraestructura que tenemos al lado que un gran campus de Madrid, y porque es un centro de actualidad: Templus compró el antiguo centro de Grupo Aire a principios de 2026 y lo inauguró como VAL01 en mayo de este año, así que hay información reciente. Como la ficha no tenía todos los datos, la he completado con la web de Templus, con PeeringDB y con noticias de la inauguración.</w:t>
      </w:r>
    </w:p>
    <w:p>
      <w:pPr>
        <w:pStyle w:val="Ttulo1"/>
      </w:pPr>
      <w:r>
        <w:t>Desarrollo</w:t>
      </w:r>
    </w:p>
    <w:p>
      <w:pPr>
        <w:pStyle w:val="Ttulo2"/>
      </w:pPr>
      <w:r>
        <w:t>Denominación y ubicación</w:t>
      </w:r>
    </w:p>
    <w:p>
      <w:pPr>
        <w:pStyle w:val="Cuerpodetexto"/>
      </w:pPr>
      <w:r>
        <w:t>El centro se llama Templus Valencia VAL01. En DataCenterMap su ficha mantiene todavía la dirección antigua "aire-oasix-valencia", porque antes era el centro OASIX de Grupo Aire, y anteriormente perteneció a ProRed Comunicaciones. Está en la C/ Louis Pasteur, 6, del Parque Tecnológico de Valencia, 46980 Paterna (coordenadas 39.554075, -0.467377).</w:t>
      </w:r>
    </w:p>
    <w:p>
      <w:pPr>
        <w:pStyle w:val="Cuerpodetexto"/>
      </w:pPr>
      <w:r>
        <w:t>El operador, Templus, se presenta como una red europea de centros de datos regionales y tiene 17 sedes en España, Portugal, Reino Unido, Francia, Italia, Países Bajos, Dinamarca y Suiza. En la Fig. 1 se ve su posición en el mapa de DataCenterMap, al noroeste de Valencia ciudad.</w:t>
      </w:r>
    </w:p>
    <w:p>
      <w:pPr>
        <w:pStyle w:val="Figurecaption"/>
        <w:keepNext/>
        <w:numPr>
          <w:ilvl w:val="0"/>
          <w:numId w:val="0"/>
        </w:numPr>
        <w:ind w:left="0" w:hanging="0"/>
        <w:jc w:val="center"/>
        <w:rPr>
          <w:lang w:val="es-ES"/>
        </w:rPr>
      </w:pPr>
      <w:r>
        <w:drawing>
          <wp:inline xmlns:a="http://schemas.openxmlformats.org/drawingml/2006/main" xmlns:pic="http://schemas.openxmlformats.org/drawingml/2006/picture">
            <wp:extent cx="5760000" cy="1978597"/>
            <wp:docPr id="1" name="Picture 1"/>
            <wp:cNvGraphicFramePr>
              <a:graphicFrameLocks noChangeAspect="1"/>
            </wp:cNvGraphicFramePr>
            <a:graphic>
              <a:graphicData uri="http://schemas.openxmlformats.org/drawingml/2006/picture">
                <pic:pic>
                  <pic:nvPicPr>
                    <pic:cNvPr id="0" name="01-mapa-templus-val01.png"/>
                    <pic:cNvPicPr/>
                  </pic:nvPicPr>
                  <pic:blipFill>
                    <a:blip r:embed="rId23"/>
                    <a:stretch>
                      <a:fillRect/>
                    </a:stretch>
                  </pic:blipFill>
                  <pic:spPr>
                    <a:xfrm>
                      <a:off x="0" y="0"/>
                      <a:ext cx="5760000" cy="1978597"/>
                    </a:xfrm>
                    <a:prstGeom prst="rect"/>
                  </pic:spPr>
                </pic:pic>
              </a:graphicData>
            </a:graphic>
          </wp:inline>
        </w:drawing>
      </w:r>
    </w:p>
    <w:p>
      <w:pPr>
        <w:pStyle w:val="Figurecaption"/>
      </w:pPr>
      <w:r>
        <w:t>Ubicación de Templus Valencia VAL01 en el mapa de DataCenterMap.</w:t>
      </w:r>
    </w:p>
    <w:p>
      <w:pPr>
        <w:pStyle w:val="Ttulo2"/>
      </w:pPr>
      <w:r>
        <w:t>Tipo de centro de datos y servicios que ofrece</w:t>
      </w:r>
    </w:p>
    <w:p>
      <w:pPr>
        <w:pStyle w:val="Cuerpodetexto"/>
      </w:pPr>
      <w:r>
        <w:t>Es un centro de colocation neutral y de ámbito regional (edge). Colocation significa que la empresa alquila el espacio en rack, la electricidad y la refrigeración, y el cliente instala sus propios equipos. Que sea neutral quiere decir que Templus no obliga a usar un operador de telecomunicaciones concreto, sino que dentro del edificio hay varios y el cliente elige. Al ser regional, su objetivo es dar servicio con poca latencia a empresas de la Comunidad Valenciana.</w:t>
      </w:r>
    </w:p>
    <w:p>
      <w:pPr>
        <w:pStyle w:val="Cuerpodetexto"/>
      </w:pPr>
      <w:r>
        <w:t>Según su ficha y la web del operador, los servicios son:</w:t>
      </w:r>
    </w:p>
    <w:p>
      <w:pPr>
        <w:pStyle w:val="Cuerpodetexto"/>
        <w:numPr>
          <w:ilvl w:val="0"/>
          <w:numId w:val="10"/>
        </w:numPr>
        <w:rPr>
          <w:lang w:val="es-ES"/>
        </w:rPr>
      </w:pPr>
      <w:r>
        <w:t>Racks privados y parciales, y alojamiento de servidores individuales (colocation).</w:t>
      </w:r>
    </w:p>
    <w:p>
      <w:pPr>
        <w:pStyle w:val="Cuerpodetexto"/>
        <w:numPr>
          <w:ilvl w:val="0"/>
          <w:numId w:val="10"/>
        </w:numPr>
        <w:rPr>
          <w:lang w:val="es-ES"/>
        </w:rPr>
      </w:pPr>
      <w:r>
        <w:t>Servidores bare metal: máquinas físicas dedicadas que alquila el propio centro.</w:t>
      </w:r>
    </w:p>
    <w:p>
      <w:pPr>
        <w:pStyle w:val="Cuerpodetexto"/>
        <w:numPr>
          <w:ilvl w:val="0"/>
          <w:numId w:val="10"/>
        </w:numPr>
        <w:rPr>
          <w:lang w:val="es-ES"/>
        </w:rPr>
      </w:pPr>
      <w:r>
        <w:t>Servicios de nube pública y privada, orientados sobre todo a entornos híbridos, en los que una empresa tiene parte de su infraestructura aquí y parte en un proveedor cloud. Por tanto, el modelo que más encaja es IaaS (infraestructura como servicio).</w:t>
      </w:r>
    </w:p>
    <w:p>
      <w:pPr>
        <w:pStyle w:val="Cuerpodetexto"/>
        <w:numPr>
          <w:ilvl w:val="0"/>
          <w:numId w:val="10"/>
        </w:numPr>
        <w:rPr>
          <w:lang w:val="es-ES"/>
        </w:rPr>
      </w:pPr>
      <w:r>
        <w:t>Interconexión entre clientes del centro y con proveedores de cloud.</w:t>
      </w:r>
    </w:p>
    <w:p>
      <w:pPr>
        <w:pStyle w:val="Ttulo2"/>
      </w:pPr>
      <w:r>
        <w:t>Infraestructura y capacidades</w:t>
      </w:r>
    </w:p>
    <w:p>
      <w:pPr>
        <w:pStyle w:val="Cuerpodetexto"/>
      </w:pPr>
      <w:r>
        <w:t>Los datos principales se resumen en la Tabla I. Hay alguna diferencia entre fuentes: DataCenterMap habla de 500 m² y la web de Templus de 400 m² de salas IT, seguramente porque la primera cifra incluye todo el edificio. Con la potencia pasa algo parecido: la web indica 0,6 MW, que sería la potencia disponible para los equipos, y la prensa 1 MW, que sería la potencia total del centro.</w:t>
      </w:r>
    </w:p>
    <w:p>
      <w:pPr>
        <w:pStyle w:val="Tablehead"/>
        <w:numPr>
          <w:ilvl w:val="0"/>
          <w:numId w:val="0"/>
        </w:numPr>
        <w:ind w:left="0" w:hanging="0"/>
        <w:rPr>
          <w:lang w:val="es-ES"/>
        </w:rPr>
      </w:pPr>
      <w:r>
        <w:t>Tabla I.</w:t>
        <w:tab/>
      </w:r>
      <w:r>
        <w:t>Características de Templus VAL01</w:t>
      </w:r>
    </w:p>
    <w:tbl>
      <w:tblPr>
        <w:tblW w:w="84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3600"/>
        <w:gridCol w:w="2400"/>
        <w:gridCol w:w="2400"/>
      </w:tblGrid>
      <w:tr>
        <w:trPr>
          <w:tblHeader w:val="true"/>
          <w:trHeight w:val="240" w:hRule="atLeast"/>
          <w:cantSplit w:val="true"/>
        </w:trPr>
        <w:tc>
          <w:tcPr>
            <w:tcW w:w="840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widowControl w:val="false"/>
              <w:rPr/>
            </w:pPr>
            <w:r>
              <w:rPr/>
              <w:t xml:space="preserve">Características principales</w:t>
            </w:r>
          </w:p>
        </w:tc>
      </w:tr>
      <w:tr>
        <w:trPr>
          <w:tblHeader w:val="true"/>
          <w:trHeight w:val="240" w:hRule="atLeast"/>
          <w:cantSplit w:val="true"/>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jc w:val="both"/>
              <w:rPr/>
            </w:pPr>
            <w:r>
              <w:rPr/>
              <w:t xml:space="preserve">Elemento</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vertAlign w:val="subscript"/>
              </w:rPr>
            </w:pPr>
            <w:r>
              <w:rPr/>
              <w:t xml:space="preserve">Valor</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pPr>
            <w:r>
              <w:rPr/>
              <w:t xml:space="preserve">Fuente</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Superficie IT</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400 m²</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Templus</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Superficie total</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500 m²</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DataCenterMap</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Racks</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85</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DataCenterMap</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Potencia IT</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0,6 MW</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Templus</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Densidad por rack</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 a 12 kW</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Templus</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Ampliación prevista</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4 MW y 1.600 m²</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Prensa</w:t>
            </w:r>
          </w:p>
        </w:tc>
      </w:tr>
    </w:tbl>
    <w:p>
      <w:pPr>
        <w:pStyle w:val="Cuerpodetexto"/>
      </w:pPr>
    </w:p>
    <w:p>
      <w:pPr>
        <w:pStyle w:val="Cuerpodetexto"/>
      </w:pPr>
      <w:r>
        <w:t>La tecnología más interesante en este apartado es la alta densidad. Un rack normal con servidores web consume pocos kW, pero los servidores con tarjetas gráficas para inteligencia artificial pueden necesitar más de 10 kW por rack, y eso exige más electricidad y más refrigeración. Templus anuncia este centro como "IA Ready" por admitir hasta 12 kW por rack. Además, ha anunciado que pasará de 1 MW a 4 MW y de 400 m² a más de 1.600 m² de salas IT.</w:t>
      </w:r>
    </w:p>
    <w:p>
      <w:pPr>
        <w:pStyle w:val="Ttulo2"/>
      </w:pPr>
      <w:r>
        <w:t>Seguridad y certificaciones</w:t>
      </w:r>
    </w:p>
    <w:p>
      <w:pPr>
        <w:pStyle w:val="Cuerpodetexto"/>
      </w:pPr>
      <w:r>
        <w:t>En seguridad física, el centro tiene vigilancia presencial 24x7. En la ficha anterior del centro también se indicaban videovigilancia (CCTV), control de acceso con tarjeta y extinción automática de incendios por gas. Este sistema se usa en salas de servidores porque apaga el fuego desplazando el oxígeno, sin dañar los equipos como lo haría el agua.</w:t>
      </w:r>
    </w:p>
    <w:p>
      <w:pPr>
        <w:pStyle w:val="Cuerpodetexto"/>
      </w:pPr>
      <w:r>
        <w:t>Las certificaciones de Templus son:</w:t>
      </w:r>
    </w:p>
    <w:p>
      <w:pPr>
        <w:pStyle w:val="Cuerpodetexto"/>
        <w:numPr>
          <w:ilvl w:val="0"/>
          <w:numId w:val="10"/>
        </w:numPr>
        <w:rPr>
          <w:lang w:val="es-ES"/>
        </w:rPr>
      </w:pPr>
      <w:r>
        <w:t>ISO 27001:2022, gestión de la seguridad de la información.</w:t>
      </w:r>
    </w:p>
    <w:p>
      <w:pPr>
        <w:pStyle w:val="Cuerpodetexto"/>
        <w:numPr>
          <w:ilvl w:val="0"/>
          <w:numId w:val="10"/>
        </w:numPr>
        <w:rPr>
          <w:lang w:val="es-ES"/>
        </w:rPr>
      </w:pPr>
      <w:r>
        <w:t>ISO 9001:2015, gestión de la calidad.</w:t>
      </w:r>
    </w:p>
    <w:p>
      <w:pPr>
        <w:pStyle w:val="Cuerpodetexto"/>
        <w:numPr>
          <w:ilvl w:val="0"/>
          <w:numId w:val="10"/>
        </w:numPr>
        <w:rPr>
          <w:lang w:val="es-ES"/>
        </w:rPr>
      </w:pPr>
      <w:r>
        <w:t>ISO 50001:2018, gestión de la energía.</w:t>
      </w:r>
    </w:p>
    <w:p>
      <w:pPr>
        <w:pStyle w:val="Cuerpodetexto"/>
        <w:numPr>
          <w:ilvl w:val="0"/>
          <w:numId w:val="10"/>
        </w:numPr>
        <w:rPr>
          <w:lang w:val="es-ES"/>
        </w:rPr>
      </w:pPr>
      <w:r>
        <w:t>ENS categoría Alta (Esquema Nacional de Seguridad). Es obligatorio para prestar servicios a la Administración Pública en España, y la categoría Alta es la más exigente.</w:t>
      </w:r>
    </w:p>
    <w:p>
      <w:pPr>
        <w:pStyle w:val="Ttulo2"/>
      </w:pPr>
      <w:r>
        <w:t>Redundancia y fiabilidad</w:t>
      </w:r>
    </w:p>
    <w:p>
      <w:pPr>
        <w:pStyle w:val="Cuerpodetexto"/>
      </w:pPr>
      <w:r>
        <w:t>El centro tiene la clasificación Tier III ("Tier III Ready" en la web). La escala Tier del Uptime Institute va del I al IV, y un Tier III supone una disponibilidad del 99,982 %, es decir, como mucho unas 1,6 horas de parada al año.</w:t>
      </w:r>
    </w:p>
    <w:p>
      <w:pPr>
        <w:pStyle w:val="Cuerpodetexto"/>
      </w:pPr>
      <w:r>
        <w:t>Lo que define a un Tier III es el mantenimiento concurrente: los sistemas críticos (acometida eléctrica, SAI, grupos electrógenos y climatización) tienen componentes de reserva, normalmente en configuración N+1, y más de un camino de distribución. Así se puede parar cualquier equipo para repararlo sin apagar los servidores de los clientes. La ficha anterior indicaba además que los SAI y los generadores son totalmente redundantes.</w:t>
      </w:r>
    </w:p>
    <w:p>
      <w:pPr>
        <w:pStyle w:val="Ttulo2"/>
      </w:pPr>
      <w:r>
        <w:t>Conectividad</w:t>
      </w:r>
    </w:p>
    <w:p>
      <w:pPr>
        <w:pStyle w:val="Cuerpodetexto"/>
      </w:pPr>
      <w:r>
        <w:t>Según PeeringDB, en el centro están presentes estas redes:</w:t>
      </w:r>
    </w:p>
    <w:p>
      <w:pPr>
        <w:pStyle w:val="Cuerpodetexto"/>
        <w:numPr>
          <w:ilvl w:val="0"/>
          <w:numId w:val="10"/>
        </w:numPr>
        <w:rPr>
          <w:lang w:val="es-ES"/>
        </w:rPr>
      </w:pPr>
      <w:r>
        <w:t>Aire Networks del Mediterráneo (AS29119).</w:t>
      </w:r>
    </w:p>
    <w:p>
      <w:pPr>
        <w:pStyle w:val="Cuerpodetexto"/>
        <w:numPr>
          <w:ilvl w:val="0"/>
          <w:numId w:val="10"/>
        </w:numPr>
        <w:rPr>
          <w:lang w:val="es-ES"/>
        </w:rPr>
      </w:pPr>
      <w:r>
        <w:t>Axarnet Comunicaciones (AS50926).</w:t>
      </w:r>
    </w:p>
    <w:p>
      <w:pPr>
        <w:pStyle w:val="Cuerpodetexto"/>
        <w:numPr>
          <w:ilvl w:val="0"/>
          <w:numId w:val="10"/>
        </w:numPr>
        <w:rPr>
          <w:lang w:val="es-ES"/>
        </w:rPr>
      </w:pPr>
      <w:r>
        <w:t>CLDIN (AS48635).</w:t>
      </w:r>
    </w:p>
    <w:p>
      <w:pPr>
        <w:pStyle w:val="Cuerpodetexto"/>
        <w:numPr>
          <w:ilvl w:val="0"/>
          <w:numId w:val="10"/>
        </w:numPr>
        <w:rPr>
          <w:lang w:val="es-ES"/>
        </w:rPr>
      </w:pPr>
      <w:r>
        <w:t>Cogent Communications (AS174), operador internacional de tránsito.</w:t>
      </w:r>
    </w:p>
    <w:p>
      <w:pPr>
        <w:pStyle w:val="Cuerpodetexto"/>
      </w:pPr>
      <w:r>
        <w:t>A nivel de grupo, Templus trabaja también con Telefónica, Vodafone, Colt, Lyntia, MasCero, Evolution y Megaport, y VAL01 está conectado a la red paneuropea de Templus, de forma que un cliente puede enlazar este centro con los de Madrid, Lisboa o Ámsterdam. En la ficha antigua se mencionaba también interconexión con los principales puntos neutros de España y Países Bajos.</w:t>
      </w:r>
    </w:p>
    <w:p>
      <w:pPr>
        <w:pStyle w:val="Cuerpodetexto"/>
      </w:pPr>
      <w:r>
        <w:t>La tecnología clave aquí es la neutralidad de operadores (carrier-neutral). Al haber varios operadores en el mismo edificio, un cliente puede contratar dos a la vez y, si uno falla, el tráfico sale por el otro. También puede conectarse con otro cliente mediante un cross-connect, que es un cable físico entre los dos racks, sin pasar por Internet, con menos latencia y más seguridad.</w:t>
      </w:r>
    </w:p>
    <w:p>
      <w:pPr>
        <w:pStyle w:val="Ttulo2"/>
      </w:pPr>
      <w:r>
        <w:t>Servicios adicionales</w:t>
      </w:r>
    </w:p>
    <w:p>
      <w:pPr>
        <w:pStyle w:val="Cuerpodetexto"/>
        <w:numPr>
          <w:ilvl w:val="0"/>
          <w:numId w:val="10"/>
        </w:numPr>
        <w:rPr>
          <w:lang w:val="es-ES"/>
        </w:rPr>
      </w:pPr>
      <w:r>
        <w:t>Smart Hands: técnicos del centro disponibles 24x7 que hacen tareas físicas por el cliente, como reiniciar un servidor, cambiar un disco o revisar el cableado, sin que este tenga que desplazarse.</w:t>
      </w:r>
    </w:p>
    <w:p>
      <w:pPr>
        <w:pStyle w:val="Cuerpodetexto"/>
        <w:numPr>
          <w:ilvl w:val="0"/>
          <w:numId w:val="10"/>
        </w:numPr>
        <w:rPr>
          <w:lang w:val="es-ES"/>
        </w:rPr>
      </w:pPr>
      <w:r>
        <w:t>Integración con servicios de conectividad y cloud para montar entornos híbridos.</w:t>
      </w:r>
    </w:p>
    <w:p>
      <w:pPr>
        <w:pStyle w:val="Cuerpodetexto"/>
        <w:numPr>
          <w:ilvl w:val="0"/>
          <w:numId w:val="10"/>
        </w:numPr>
        <w:rPr>
          <w:lang w:val="es-ES"/>
        </w:rPr>
      </w:pPr>
      <w:r>
        <w:t>Servidores bare metal y nube privada.</w:t>
      </w:r>
    </w:p>
    <w:p>
      <w:pPr>
        <w:pStyle w:val="Cuerpodetexto"/>
      </w:pPr>
      <w:r>
        <w:t>No he encontrado un servicio propio de copias de seguridad o de recuperación ante desastres (DRaaS). Aun así, como Templus tiene otros centros en España, un cliente podría usar VAL01 como sede principal y otro centro de la red como réplica.</w:t>
      </w:r>
    </w:p>
    <w:p>
      <w:pPr>
        <w:pStyle w:val="Ttulo2"/>
      </w:pPr>
      <w:r>
        <w:t>Impacto ambiental</w:t>
      </w:r>
    </w:p>
    <w:p>
      <w:pPr>
        <w:pStyle w:val="Cuerpodetexto"/>
      </w:pPr>
      <w:r>
        <w:t>Templus afirma que VAL01 usa electricidad 100 % renovable, tiene una planta fotovoltaica propia para autoconsumo y refrigera con un circuito cerrado de agua, en el que el agua circula siempre por el mismo circuito y no se evapora. Como no publica datos de consumo ni de emisiones, he hecho una aproximación con estas suposiciones:</w:t>
      </w:r>
    </w:p>
    <w:p>
      <w:pPr>
        <w:pStyle w:val="Cuerpodetexto"/>
        <w:numPr>
          <w:ilvl w:val="0"/>
          <w:numId w:val="10"/>
        </w:numPr>
        <w:rPr>
          <w:lang w:val="es-ES"/>
        </w:rPr>
      </w:pPr>
      <w:r>
        <w:t>Ocupación media del 50 % de la potencia IT: 0,3 MW × 8.760 h = 2.628.000 kWh al año de equipos TI.</w:t>
      </w:r>
    </w:p>
    <w:p>
      <w:pPr>
        <w:pStyle w:val="Cuerpodetexto"/>
        <w:numPr>
          <w:ilvl w:val="0"/>
          <w:numId w:val="10"/>
        </w:numPr>
        <w:rPr>
          <w:lang w:val="es-ES"/>
        </w:rPr>
      </w:pPr>
      <w:r>
        <w:t>PUE de 1,4, un valor habitual en un Tier III moderno: 2.628.000 × 1,4 = 3.679.200 kWh al año en total.</w:t>
      </w:r>
    </w:p>
    <w:p>
      <w:pPr>
        <w:pStyle w:val="Cuerpodetexto"/>
        <w:numPr>
          <w:ilvl w:val="0"/>
          <w:numId w:val="10"/>
        </w:numPr>
        <w:rPr>
          <w:lang w:val="es-ES"/>
        </w:rPr>
      </w:pPr>
      <w:r>
        <w:t>Dos grupos electrógenos que se prueban 1 hora al mes, con un consumo de unos 200 l/h cada uno: 2 × 12 h × 200 l = 4.800 l de gasóleo al año.</w:t>
      </w:r>
    </w:p>
    <w:p>
      <w:pPr>
        <w:pStyle w:val="Cuerpodetexto"/>
        <w:numPr>
          <w:ilvl w:val="0"/>
          <w:numId w:val="10"/>
        </w:numPr>
        <w:rPr>
          <w:lang w:val="es-ES"/>
        </w:rPr>
      </w:pPr>
      <w:r>
        <w:t>Reposición del circuito cerrado de unos 10 m³ de agua al año.</w:t>
      </w:r>
    </w:p>
    <w:p>
      <w:pPr>
        <w:pStyle w:val="Cuerpodetexto"/>
      </w:pPr>
      <w:r>
        <w:t>Huella de carbono:</w:t>
      </w:r>
    </w:p>
    <w:p>
      <w:pPr>
        <w:pStyle w:val="Cuerpodetexto"/>
        <w:numPr>
          <w:ilvl w:val="0"/>
          <w:numId w:val="10"/>
        </w:numPr>
        <w:rPr>
          <w:lang w:val="es-ES"/>
        </w:rPr>
      </w:pPr>
      <w:r>
        <w:t>Alcance 1 (emisiones directas)</w:t>
      </w:r>
    </w:p>
    <w:p>
      <w:pPr>
        <w:pStyle w:val="Cuerpodetexto"/>
        <w:numPr>
          <w:ilvl w:val="1"/>
          <w:numId w:val="10"/>
        </w:numPr>
        <w:rPr>
          <w:lang w:val="es-ES"/>
        </w:rPr>
      </w:pPr>
      <w:r>
        <w:t>Generadores: 4.800 l × 2,69 kgCO2e/l = 12.912 kgCO2e, unas 12,9 t al año.</w:t>
      </w:r>
    </w:p>
    <w:p>
      <w:pPr>
        <w:pStyle w:val="Cuerpodetexto"/>
        <w:numPr>
          <w:ilvl w:val="0"/>
          <w:numId w:val="10"/>
        </w:numPr>
        <w:rPr>
          <w:lang w:val="es-ES"/>
        </w:rPr>
      </w:pPr>
      <w:r>
        <w:t>Alcance 2 (emisiones indirectas por energía)</w:t>
      </w:r>
    </w:p>
    <w:p>
      <w:pPr>
        <w:pStyle w:val="Cuerpodetexto"/>
        <w:numPr>
          <w:ilvl w:val="1"/>
          <w:numId w:val="10"/>
        </w:numPr>
        <w:rPr>
          <w:lang w:val="es-ES"/>
        </w:rPr>
      </w:pPr>
      <w:r>
        <w:t>Con el factor medio de la red española: 3.679.200 kWh × 0,283 kgCO2e/kWh = 1.041.214 kgCO2e, unas 1.041 t al año.</w:t>
      </w:r>
    </w:p>
    <w:p>
      <w:pPr>
        <w:pStyle w:val="Cuerpodetexto"/>
        <w:numPr>
          <w:ilvl w:val="1"/>
          <w:numId w:val="10"/>
        </w:numPr>
        <w:rPr>
          <w:lang w:val="es-ES"/>
        </w:rPr>
      </w:pPr>
      <w:r>
        <w:t>Si la electricidad es realmente 100 % renovable con garantía de origen, estas emisiones se pueden considerar prácticamente nulas.</w:t>
      </w:r>
    </w:p>
    <w:p>
      <w:pPr>
        <w:pStyle w:val="Cuerpodetexto"/>
        <w:numPr>
          <w:ilvl w:val="0"/>
          <w:numId w:val="10"/>
        </w:numPr>
        <w:rPr>
          <w:lang w:val="es-ES"/>
        </w:rPr>
      </w:pPr>
      <w:r>
        <w:t>Alcance 3 (cadena de valor)</w:t>
      </w:r>
    </w:p>
    <w:p>
      <w:pPr>
        <w:pStyle w:val="Cuerpodetexto"/>
        <w:numPr>
          <w:ilvl w:val="1"/>
          <w:numId w:val="10"/>
        </w:numPr>
        <w:rPr>
          <w:lang w:val="es-ES"/>
        </w:rPr>
      </w:pPr>
      <w:r>
        <w:t>Depende de la fabricación de los equipos de cada cliente y de la construcción del edificio. No hay datos públicos, por lo que no lo he calculado.</w:t>
      </w:r>
    </w:p>
    <w:p>
      <w:pPr>
        <w:pStyle w:val="Cuerpodetexto"/>
      </w:pPr>
      <w:r>
        <w:t>Métricas de eficiencia:</w:t>
      </w:r>
    </w:p>
    <w:p>
      <w:pPr>
        <w:pStyle w:val="Cuerpodetexto"/>
        <w:numPr>
          <w:ilvl w:val="0"/>
          <w:numId w:val="10"/>
        </w:numPr>
        <w:rPr>
          <w:lang w:val="es-ES"/>
        </w:rPr>
      </w:pPr>
      <w:r>
        <w:t>PUE = 3.679.200 kWh / 2.628.000 kWh = 1,40 (valor supuesto). Templus no publica el PUE de VAL01, aunque dice trabajar en su optimización continua y tiene la ISO 50001.</w:t>
      </w:r>
    </w:p>
    <w:p>
      <w:pPr>
        <w:pStyle w:val="Cuerpodetexto"/>
        <w:numPr>
          <w:ilvl w:val="0"/>
          <w:numId w:val="10"/>
        </w:numPr>
        <w:rPr>
          <w:lang w:val="es-ES"/>
        </w:rPr>
      </w:pPr>
      <w:r>
        <w:t>CUE = (12.912 + 1.041.214) kgCO2e / 2.628.000 kWh ≈ 0,40 kgCO2e/kWh con el factor de red. Con energía renovable bajaría a 12.912 / 2.628.000 ≈ 0,005 kgCO2e/kWh.</w:t>
      </w:r>
    </w:p>
    <w:p>
      <w:pPr>
        <w:pStyle w:val="Cuerpodetexto"/>
        <w:numPr>
          <w:ilvl w:val="0"/>
          <w:numId w:val="10"/>
        </w:numPr>
        <w:rPr>
          <w:lang w:val="es-ES"/>
        </w:rPr>
      </w:pPr>
      <w:r>
        <w:t>WUE = 10.000 l / 2.628.000 kWh ≈ 0,004 l/kWh. Es un valor muy bajo gracias al circuito cerrado; un CPD con torres evaporativas puede superar 1 l/kWh. Esto es importante en una zona con poca agua como Valencia.</w:t>
      </w:r>
    </w:p>
    <w:p>
      <w:pPr>
        <w:pStyle w:val="Tablehead"/>
        <w:numPr>
          <w:ilvl w:val="0"/>
          <w:numId w:val="0"/>
        </w:numPr>
        <w:ind w:left="0" w:hanging="0"/>
        <w:rPr>
          <w:lang w:val="es-ES"/>
        </w:rPr>
      </w:pPr>
      <w:r>
        <w:t>Tabla II.</w:t>
        <w:tab/>
      </w:r>
      <w:r>
        <w:t>Estimación anual de impacto ambiental</w:t>
      </w:r>
    </w:p>
    <w:tbl>
      <w:tblPr>
        <w:tblW w:w="84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3600"/>
        <w:gridCol w:w="2400"/>
        <w:gridCol w:w="2400"/>
      </w:tblGrid>
      <w:tr>
        <w:trPr>
          <w:tblHeader w:val="true"/>
          <w:trHeight w:val="240" w:hRule="atLeast"/>
          <w:cantSplit w:val="true"/>
        </w:trPr>
        <w:tc>
          <w:tcPr>
            <w:tcW w:w="840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widowControl w:val="false"/>
              <w:rPr/>
            </w:pPr>
            <w:r>
              <w:rPr/>
              <w:t xml:space="preserve">Datos de impacto ambiental</w:t>
            </w:r>
          </w:p>
        </w:tc>
      </w:tr>
      <w:tr>
        <w:trPr>
          <w:tblHeader w:val="true"/>
          <w:trHeight w:val="240" w:hRule="atLeast"/>
          <w:cantSplit w:val="true"/>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jc w:val="both"/>
              <w:rPr/>
            </w:pPr>
            <w:r>
              <w:rPr/>
              <w:t xml:space="preserve">Zona de impacto</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vertAlign w:val="subscript"/>
              </w:rPr>
            </w:pPr>
            <w:r>
              <w:rPr/>
              <w:t xml:space="preserve">Toneladas de CO2</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pPr>
            <w:r>
              <w:rPr/>
              <w:t xml:space="preserve">Consumo eléctrico</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Alcance 1 (generadores)</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12,9</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Alcance 2 (factor de red)</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1.041,2</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3.679.200 kWh</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Alcance 2 (100 % renovable)</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 0</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3.679.200 kWh</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Total con factor de red</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1.054,1</w:t>
            </w:r>
          </w:p>
        </w:tc>
        <w:tc>
          <w:tcPr>
            <w:tcW w:w="2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3.679.200 kWh</w:t>
            </w:r>
          </w:p>
        </w:tc>
      </w:tr>
    </w:tbl>
    <w:p>
      <w:pPr>
        <w:pStyle w:val="Cuerpodetexto"/>
      </w:pPr>
    </w:p>
    <w:p>
      <w:pPr>
        <w:pStyle w:val="Cuerpodetexto"/>
      </w:pPr>
      <w:r>
        <w:t>La conclusión es que casi todo el impacto depende de la electricidad. Por eso el contrato de energía renovable y la planta fotovoltaica son las medidas que más reducen la huella del centro.</w:t>
      </w:r>
    </w:p>
    <w:p>
      <w:pPr>
        <w:pStyle w:val="Ttulo1"/>
      </w:pPr>
      <w:r>
        <w:t>Referencias</w:t>
      </w:r>
    </w:p>
    <w:p>
      <w:pPr>
        <w:pStyle w:val="Cuerpodetexto"/>
        <w:ind w:firstLine="0"/>
        <w:jc w:val="left"/>
      </w:pPr>
      <w:r>
        <w:t>[1] "Templus Valencia VAL01 Data Center | C/ Louis Pasteur, 6," Data Center Map. https://www.datacentermap.com/spain/valencia/aire-oasix-valencia/ (último acceso 26/10/2026).</w:t>
      </w:r>
    </w:p>
    <w:p>
      <w:pPr>
        <w:pStyle w:val="Cuerpodetexto"/>
        <w:ind w:firstLine="0"/>
        <w:jc w:val="left"/>
      </w:pPr>
      <w:r>
        <w:t>[2] "Valencia VAL01," Templus. https://templus.com/data-centers/valencia-val01/ (último acceso 26/10/2026).</w:t>
      </w:r>
    </w:p>
    <w:p>
      <w:pPr>
        <w:pStyle w:val="Cuerpodetexto"/>
        <w:ind w:firstLine="0"/>
        <w:jc w:val="left"/>
      </w:pPr>
      <w:r>
        <w:t>[3] "Templus," Templus. https://templus.com/ (último acceso 26/10/2026).</w:t>
      </w:r>
    </w:p>
    <w:p>
      <w:pPr>
        <w:pStyle w:val="Cuerpodetexto"/>
        <w:ind w:firstLine="0"/>
        <w:jc w:val="left"/>
      </w:pPr>
      <w:r>
        <w:t>[4] "Templus DC Valencia VAL01," PeeringDB. https://www.peeringdb.com/fac/8326 (último acceso 26/10/2026).</w:t>
      </w:r>
    </w:p>
    <w:p>
      <w:pPr>
        <w:pStyle w:val="Cuerpodetexto"/>
        <w:ind w:firstLine="0"/>
        <w:jc w:val="left"/>
      </w:pPr>
      <w:r>
        <w:t>[5] "Templus will increase its Valencia data center capacity to 4 MW," Cloudnews, 2026. https://cloudnews.tech/templus-will-increase-its-valencia-data-center-capacity-to-4-mw/ (último acceso 26/10/2026).</w:t>
      </w:r>
    </w:p>
    <w:p>
      <w:pPr>
        <w:pStyle w:val="Cuerpodetexto"/>
        <w:ind w:firstLine="0"/>
        <w:jc w:val="left"/>
      </w:pPr>
      <w:r>
        <w:t>[6] "Marián Cano destaca el papel estratégico del nuevo centro de datos de Templus," Valencia News, 13/05/2026. https://valencianews.es/comunidad-valenciana/marian-cano-destaca-el-papel-estrategico-del-nuevo-centro-de-datos-de-templus/ (último acceso 26/10/2026).</w:t>
      </w:r>
    </w:p>
    <w:p>
      <w:pPr>
        <w:pStyle w:val="Cuerpodetexto"/>
        <w:ind w:firstLine="0"/>
        <w:jc w:val="left"/>
      </w:pPr>
      <w:r>
        <w:t>[7] "Calculadoras de huella de carbono," MITECO. https://www.miteco.gob.es/es/cambio-climatico/temas/mitigacion-politicas-y-medidas/calculadoras.html (último acceso 26/10/2026).</w:t>
      </w:r>
    </w:p>
    <w:sectPr>
      <w:headerReference w:type="default" r:id="rId15"/>
      <w:footerReference w:type="default" r:id="rId16"/>
      <w:footerReference w:type="first" r:id="rId17"/>
      <w:type w:val="nextPage"/>
      <w:pgSz w:w="11906" w:h="16838"/>
      <w:pgMar w:left="1701" w:right="1701" w:gutter="0" w:header="720" w:top="1417" w:footer="720" w:bottom="1417"/>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pBdr>
        <w:top w:val="single" w:sz="4" w:space="1" w:color="000000"/>
      </w:pBdr>
      <w:tabs>
        <w:tab w:pos="4252" w:val="center"/>
        <w:tab w:pos="4680" w:val="clear"/>
        <w:tab w:pos="8504" w:val="right"/>
        <w:tab w:pos="9360" w:val="clear"/>
      </w:tabs>
      <w:jc w:val="both"/>
      <w:rPr/>
    </w:pPr>
    <w:r>
      <w:rPr/>
      <w:t>Pau López Núñez</w:t>
      <w:tab/>
      <w:tab/>
      <w:t xml:space="preserve">Página </w:t>
    </w:r>
    <w:r>
      <w:rPr/>
      <w:fldChar w:fldCharType="begin"/>
    </w:r>
    <w:r>
      <w:rPr/>
      <w:instrText xml:space="preserve"> PAGE </w:instrText>
    </w:r>
    <w:r>
      <w:rPr/>
      <w:fldChar w:fldCharType="separate"/>
    </w:r>
    <w:r>
      <w:rPr/>
      <w:t>4</w:t>
    </w:r>
    <w:r>
      <w:rPr/>
      <w:fldChar w:fldCharType="end"/>
    </w:r>
    <w:r>
      <w:rPr/>
      <w:t xml:space="preserve"> de </w:t>
    </w:r>
    <w:r>
      <w:rPr/>
      <w:fldChar w:fldCharType="begin"/>
    </w:r>
    <w:r>
      <w:rPr/>
      <w:instrText xml:space="preserve"> NUMPAGES </w:instrText>
    </w:r>
    <w:r>
      <w:rPr/>
      <w:fldChar w:fldCharType="separate"/>
    </w:r>
    <w:r>
      <w:rPr/>
      <w:t>4</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pBdr>
        <w:bottom w:val="single" w:sz="4" w:space="1" w:color="000000"/>
      </w:pBdr>
      <w:tabs>
        <w:tab w:pos="4252" w:val="center"/>
        <w:tab w:pos="4680" w:val="clear"/>
        <w:tab w:pos="8504" w:val="right"/>
        <w:tab w:pos="9360" w:val="clear"/>
      </w:tabs>
      <w:jc w:val="both"/>
      <w:rPr/>
    </w:pPr>
    <w:r>
      <w:rPr/>
      <w:t>IES Juan de Garay (València)</w:t>
      <w:tab/>
      <w:tab/>
      <w:t>FCISN – Tarea 1.1. Centros de datos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numFmt w:val="bullet"/>
      <w:lvlText w:val=""/>
      <w:lvlJc w:val="left"/>
      <w:pPr>
        <w:tabs>
          <w:tab w:val="num" w:pos="0"/>
        </w:tabs>
        <w:ind w:left="648" w:hanging="360"/>
      </w:pPr>
      <w:rPr>
        <w:rFonts w:ascii="Symbol" w:hAnsi="Symbol" w:cs="Symbol" w:hint="default"/>
      </w:rPr>
    </w:lvl>
    <w:lvl w:ilvl="1">
      <w:start w:val="1"/>
      <w:numFmt w:val="bullet"/>
      <w:lvlText w:val="o"/>
      <w:lvlJc w:val="left"/>
      <w:pPr>
        <w:tabs>
          <w:tab w:val="num" w:pos="0"/>
        </w:tabs>
        <w:ind w:left="1368" w:hanging="360"/>
      </w:pPr>
      <w:rPr>
        <w:rFonts w:ascii="Courier New" w:hAnsi="Courier New" w:cs="Courier New" w:hint="default"/>
      </w:rPr>
    </w:lvl>
    <w:lvl w:ilvl="2">
      <w:start w:val="1"/>
      <w:numFmt w:val="bullet"/>
      <w:lvlText w:val=""/>
      <w:lvlJc w:val="left"/>
      <w:pPr>
        <w:tabs>
          <w:tab w:val="num" w:pos="0"/>
        </w:tabs>
        <w:ind w:left="2088" w:hanging="360"/>
      </w:pPr>
      <w:rPr>
        <w:rFonts w:ascii="Wingdings" w:hAnsi="Wingdings" w:cs="Wingdings" w:hint="default"/>
      </w:rPr>
    </w:lvl>
    <w:lvl w:ilvl="3">
      <w:start w:val="1"/>
      <w:numFmt w:val="bullet"/>
      <w:lvlText w:val=""/>
      <w:lvlJc w:val="left"/>
      <w:pPr>
        <w:tabs>
          <w:tab w:val="num" w:pos="0"/>
        </w:tabs>
        <w:ind w:left="2808" w:hanging="360"/>
      </w:pPr>
      <w:rPr>
        <w:rFonts w:ascii="Symbol" w:hAnsi="Symbol" w:cs="Symbol" w:hint="default"/>
      </w:rPr>
    </w:lvl>
    <w:lvl w:ilvl="4">
      <w:start w:val="1"/>
      <w:numFmt w:val="bullet"/>
      <w:lvlText w:val="o"/>
      <w:lvlJc w:val="left"/>
      <w:pPr>
        <w:tabs>
          <w:tab w:val="num" w:pos="0"/>
        </w:tabs>
        <w:ind w:left="3528" w:hanging="360"/>
      </w:pPr>
      <w:rPr>
        <w:rFonts w:ascii="Courier New" w:hAnsi="Courier New" w:cs="Courier New" w:hint="default"/>
      </w:rPr>
    </w:lvl>
    <w:lvl w:ilvl="5">
      <w:start w:val="1"/>
      <w:numFmt w:val="bullet"/>
      <w:lvlText w:val=""/>
      <w:lvlJc w:val="left"/>
      <w:pPr>
        <w:tabs>
          <w:tab w:val="num" w:pos="0"/>
        </w:tabs>
        <w:ind w:left="4248" w:hanging="360"/>
      </w:pPr>
      <w:rPr>
        <w:rFonts w:ascii="Wingdings" w:hAnsi="Wingdings" w:cs="Wingdings" w:hint="default"/>
      </w:rPr>
    </w:lvl>
    <w:lvl w:ilvl="6">
      <w:start w:val="1"/>
      <w:numFmt w:val="bullet"/>
      <w:lvlText w:val=""/>
      <w:lvlJc w:val="left"/>
      <w:pPr>
        <w:tabs>
          <w:tab w:val="num" w:pos="0"/>
        </w:tabs>
        <w:ind w:left="4968" w:hanging="360"/>
      </w:pPr>
      <w:rPr>
        <w:rFonts w:ascii="Symbol" w:hAnsi="Symbol" w:cs="Symbol" w:hint="default"/>
      </w:rPr>
    </w:lvl>
    <w:lvl w:ilvl="7">
      <w:start w:val="1"/>
      <w:numFmt w:val="bullet"/>
      <w:lvlText w:val="o"/>
      <w:lvlJc w:val="left"/>
      <w:pPr>
        <w:tabs>
          <w:tab w:val="num" w:pos="0"/>
        </w:tabs>
        <w:ind w:left="5688" w:hanging="360"/>
      </w:pPr>
      <w:rPr>
        <w:rFonts w:ascii="Courier New" w:hAnsi="Courier New" w:cs="Courier New" w:hint="default"/>
      </w:rPr>
    </w:lvl>
    <w:lvl w:ilvl="8">
      <w:start w:val="1"/>
      <w:numFmt w:val="bullet"/>
      <w:lvlText w:val=""/>
      <w:lvlJc w:val="left"/>
      <w:pPr>
        <w:tabs>
          <w:tab w:val="num" w:pos="0"/>
        </w:tabs>
        <w:ind w:left="6408" w:hanging="360"/>
      </w:pPr>
      <w:rPr>
        <w:rFonts w:ascii="Wingdings" w:hAnsi="Wingdings" w:cs="Wingdings" w:hint="default"/>
      </w:rPr>
    </w:lvl>
  </w:abstractNum>
  <w:abstractNum w:abstractNumId="9">
    <w:lvl w:ilvl="0">
      <w:numFmt w:val="bullet"/>
      <w:lvlText w:val=""/>
      <w:lvlJc w:val="left"/>
      <w:pPr>
        <w:tabs>
          <w:tab w:val="num" w:pos="0"/>
        </w:tabs>
        <w:ind w:left="648" w:hanging="360"/>
      </w:pPr>
      <w:rPr>
        <w:rFonts w:ascii="Symbol" w:hAnsi="Symbol" w:cs="Symbol" w:hint="default"/>
      </w:rPr>
    </w:lvl>
    <w:lvl w:ilvl="1">
      <w:start w:val="1"/>
      <w:numFmt w:val="bullet"/>
      <w:lvlText w:val="o"/>
      <w:lvlJc w:val="left"/>
      <w:pPr>
        <w:tabs>
          <w:tab w:val="num" w:pos="0"/>
        </w:tabs>
        <w:ind w:left="1368" w:hanging="360"/>
      </w:pPr>
      <w:rPr>
        <w:rFonts w:ascii="Courier New" w:hAnsi="Courier New" w:cs="Courier New" w:hint="default"/>
      </w:rPr>
    </w:lvl>
    <w:lvl w:ilvl="2">
      <w:start w:val="1"/>
      <w:numFmt w:val="bullet"/>
      <w:lvlText w:val=""/>
      <w:lvlJc w:val="left"/>
      <w:pPr>
        <w:tabs>
          <w:tab w:val="num" w:pos="0"/>
        </w:tabs>
        <w:ind w:left="2088" w:hanging="360"/>
      </w:pPr>
      <w:rPr>
        <w:rFonts w:ascii="Wingdings" w:hAnsi="Wingdings" w:cs="Wingdings" w:hint="default"/>
      </w:rPr>
    </w:lvl>
    <w:lvl w:ilvl="3">
      <w:start w:val="1"/>
      <w:numFmt w:val="bullet"/>
      <w:lvlText w:val=""/>
      <w:lvlJc w:val="left"/>
      <w:pPr>
        <w:tabs>
          <w:tab w:val="num" w:pos="0"/>
        </w:tabs>
        <w:ind w:left="2808" w:hanging="360"/>
      </w:pPr>
      <w:rPr>
        <w:rFonts w:ascii="Symbol" w:hAnsi="Symbol" w:cs="Symbol" w:hint="default"/>
      </w:rPr>
    </w:lvl>
    <w:lvl w:ilvl="4">
      <w:start w:val="1"/>
      <w:numFmt w:val="bullet"/>
      <w:lvlText w:val="o"/>
      <w:lvlJc w:val="left"/>
      <w:pPr>
        <w:tabs>
          <w:tab w:val="num" w:pos="0"/>
        </w:tabs>
        <w:ind w:left="3528" w:hanging="360"/>
      </w:pPr>
      <w:rPr>
        <w:rFonts w:ascii="Courier New" w:hAnsi="Courier New" w:cs="Courier New" w:hint="default"/>
      </w:rPr>
    </w:lvl>
    <w:lvl w:ilvl="5">
      <w:start w:val="1"/>
      <w:numFmt w:val="bullet"/>
      <w:lvlText w:val=""/>
      <w:lvlJc w:val="left"/>
      <w:pPr>
        <w:tabs>
          <w:tab w:val="num" w:pos="0"/>
        </w:tabs>
        <w:ind w:left="4248" w:hanging="360"/>
      </w:pPr>
      <w:rPr>
        <w:rFonts w:ascii="Wingdings" w:hAnsi="Wingdings" w:cs="Wingdings" w:hint="default"/>
      </w:rPr>
    </w:lvl>
    <w:lvl w:ilvl="6">
      <w:start w:val="1"/>
      <w:numFmt w:val="bullet"/>
      <w:lvlText w:val=""/>
      <w:lvlJc w:val="left"/>
      <w:pPr>
        <w:tabs>
          <w:tab w:val="num" w:pos="0"/>
        </w:tabs>
        <w:ind w:left="4968" w:hanging="360"/>
      </w:pPr>
      <w:rPr>
        <w:rFonts w:ascii="Symbol" w:hAnsi="Symbol" w:cs="Symbol" w:hint="default"/>
      </w:rPr>
    </w:lvl>
    <w:lvl w:ilvl="7">
      <w:start w:val="1"/>
      <w:numFmt w:val="bullet"/>
      <w:lvlText w:val="o"/>
      <w:lvlJc w:val="left"/>
      <w:pPr>
        <w:tabs>
          <w:tab w:val="num" w:pos="0"/>
        </w:tabs>
        <w:ind w:left="5688" w:hanging="360"/>
      </w:pPr>
      <w:rPr>
        <w:rFonts w:ascii="Courier New" w:hAnsi="Courier New" w:cs="Courier New" w:hint="default"/>
      </w:rPr>
    </w:lvl>
    <w:lvl w:ilvl="8">
      <w:start w:val="1"/>
      <w:numFmt w:val="bullet"/>
      <w:lvlText w:val=""/>
      <w:lvlJc w:val="left"/>
      <w:pPr>
        <w:tabs>
          <w:tab w:val="num" w:pos="0"/>
        </w:tabs>
        <w:ind w:left="6408" w:hanging="360"/>
      </w:pPr>
      <w:rPr>
        <w:rFonts w:ascii="Wingdings" w:hAnsi="Wingdings" w:cs="Wingdings" w:hint="default"/>
      </w:rPr>
    </w:lvl>
  </w:abstractNum>
  <w:abstractNum w:abstractNumId="10">
    <w:lvl w:ilvl="0">
      <w:numFmt w:val="bullet"/>
      <w:lvlText w:val=""/>
      <w:lvlJc w:val="left"/>
      <w:pPr>
        <w:tabs>
          <w:tab w:val="num" w:pos="0"/>
        </w:tabs>
        <w:ind w:left="648" w:hanging="360"/>
      </w:pPr>
      <w:rPr>
        <w:rFonts w:ascii="Symbol" w:hAnsi="Symbol" w:cs="Symbol" w:hint="default"/>
      </w:rPr>
    </w:lvl>
    <w:lvl w:ilvl="1">
      <w:start w:val="1"/>
      <w:numFmt w:val="bullet"/>
      <w:lvlText w:val="o"/>
      <w:lvlJc w:val="left"/>
      <w:pPr>
        <w:tabs>
          <w:tab w:val="num" w:pos="0"/>
        </w:tabs>
        <w:ind w:left="1368" w:hanging="360"/>
      </w:pPr>
      <w:rPr>
        <w:rFonts w:ascii="Courier New" w:hAnsi="Courier New" w:cs="Courier New" w:hint="default"/>
      </w:rPr>
    </w:lvl>
    <w:lvl w:ilvl="2">
      <w:start w:val="1"/>
      <w:numFmt w:val="bullet"/>
      <w:lvlText w:val=""/>
      <w:lvlJc w:val="left"/>
      <w:pPr>
        <w:tabs>
          <w:tab w:val="num" w:pos="0"/>
        </w:tabs>
        <w:ind w:left="2088" w:hanging="360"/>
      </w:pPr>
      <w:rPr>
        <w:rFonts w:ascii="Wingdings" w:hAnsi="Wingdings" w:cs="Wingdings" w:hint="default"/>
      </w:rPr>
    </w:lvl>
    <w:lvl w:ilvl="3">
      <w:start w:val="1"/>
      <w:numFmt w:val="bullet"/>
      <w:lvlText w:val=""/>
      <w:lvlJc w:val="left"/>
      <w:pPr>
        <w:tabs>
          <w:tab w:val="num" w:pos="0"/>
        </w:tabs>
        <w:ind w:left="2808" w:hanging="360"/>
      </w:pPr>
      <w:rPr>
        <w:rFonts w:ascii="Symbol" w:hAnsi="Symbol" w:cs="Symbol" w:hint="default"/>
      </w:rPr>
    </w:lvl>
    <w:lvl w:ilvl="4">
      <w:start w:val="1"/>
      <w:numFmt w:val="bullet"/>
      <w:lvlText w:val="o"/>
      <w:lvlJc w:val="left"/>
      <w:pPr>
        <w:tabs>
          <w:tab w:val="num" w:pos="0"/>
        </w:tabs>
        <w:ind w:left="3528" w:hanging="360"/>
      </w:pPr>
      <w:rPr>
        <w:rFonts w:ascii="Courier New" w:hAnsi="Courier New" w:cs="Courier New" w:hint="default"/>
      </w:rPr>
    </w:lvl>
    <w:lvl w:ilvl="5">
      <w:start w:val="1"/>
      <w:numFmt w:val="bullet"/>
      <w:lvlText w:val=""/>
      <w:lvlJc w:val="left"/>
      <w:pPr>
        <w:tabs>
          <w:tab w:val="num" w:pos="0"/>
        </w:tabs>
        <w:ind w:left="4248" w:hanging="360"/>
      </w:pPr>
      <w:rPr>
        <w:rFonts w:ascii="Wingdings" w:hAnsi="Wingdings" w:cs="Wingdings" w:hint="default"/>
      </w:rPr>
    </w:lvl>
    <w:lvl w:ilvl="6">
      <w:start w:val="1"/>
      <w:numFmt w:val="bullet"/>
      <w:lvlText w:val=""/>
      <w:lvlJc w:val="left"/>
      <w:pPr>
        <w:tabs>
          <w:tab w:val="num" w:pos="0"/>
        </w:tabs>
        <w:ind w:left="4968" w:hanging="360"/>
      </w:pPr>
      <w:rPr>
        <w:rFonts w:ascii="Symbol" w:hAnsi="Symbol" w:cs="Symbol" w:hint="default"/>
      </w:rPr>
    </w:lvl>
    <w:lvl w:ilvl="7">
      <w:start w:val="1"/>
      <w:numFmt w:val="bullet"/>
      <w:lvlText w:val="o"/>
      <w:lvlJc w:val="left"/>
      <w:pPr>
        <w:tabs>
          <w:tab w:val="num" w:pos="0"/>
        </w:tabs>
        <w:ind w:left="5688" w:hanging="360"/>
      </w:pPr>
      <w:rPr>
        <w:rFonts w:ascii="Courier New" w:hAnsi="Courier New" w:cs="Courier New" w:hint="default"/>
      </w:rPr>
    </w:lvl>
    <w:lvl w:ilvl="8">
      <w:start w:val="1"/>
      <w:numFmt w:val="bullet"/>
      <w:lvlText w:val=""/>
      <w:lvlJc w:val="left"/>
      <w:pPr>
        <w:tabs>
          <w:tab w:val="num" w:pos="0"/>
        </w:tabs>
        <w:ind w:left="6408"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13e47"/>
    <w:pPr>
      <w:widowControl/>
      <w:suppressAutoHyphens w:val="true"/>
      <w:bidi w:val="0"/>
      <w:spacing w:before="0" w:after="0"/>
      <w:jc w:val="center"/>
    </w:pPr>
    <w:rPr>
      <w:rFonts w:ascii="Times New Roman" w:hAnsi="Times New Roman" w:eastAsia="SimSun" w:cs="Times New Roman"/>
      <w:color w:val="auto"/>
      <w:kern w:val="0"/>
      <w:sz w:val="20"/>
      <w:szCs w:val="20"/>
      <w:lang w:val="es-ES" w:eastAsia="en-US" w:bidi="ar-SA"/>
    </w:rPr>
  </w:style>
  <w:style w:type="paragraph" w:styleId="Ttulo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Ttulo2">
    <w:name w:val="Heading 2"/>
    <w:basedOn w:val="Normal"/>
    <w:next w:val="Normal"/>
    <w:link w:val="Ttulo2Car"/>
    <w:qFormat/>
    <w:rsid w:val="00ed0149"/>
    <w:pPr>
      <w:keepNext w:val="true"/>
      <w:keepLines/>
      <w:numPr>
        <w:ilvl w:val="1"/>
        <w:numId w:val="4"/>
      </w:numPr>
      <w:tabs>
        <w:tab w:val="clear" w:pos="720"/>
        <w:tab w:val="left" w:pos="288" w:leader="none"/>
      </w:tabs>
      <w:spacing w:before="120" w:after="60"/>
      <w:jc w:val="left"/>
      <w:outlineLvl w:val="1"/>
    </w:pPr>
    <w:rPr>
      <w:i/>
      <w:iCs/>
    </w:rPr>
  </w:style>
  <w:style w:type="paragraph" w:styleId="Ttulo3">
    <w:name w:val="Heading 3"/>
    <w:basedOn w:val="Normal"/>
    <w:next w:val="Normal"/>
    <w:qFormat/>
    <w:rsid w:val="00794804"/>
    <w:pPr>
      <w:numPr>
        <w:ilvl w:val="2"/>
        <w:numId w:val="4"/>
      </w:numPr>
      <w:spacing w:lineRule="exact" w:line="240"/>
      <w:ind w:firstLine="288"/>
      <w:jc w:val="both"/>
      <w:outlineLvl w:val="2"/>
    </w:pPr>
    <w:rPr>
      <w:i/>
      <w:iCs/>
    </w:rPr>
  </w:style>
  <w:style w:type="paragraph" w:styleId="Ttulo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Ttulo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unhideWhenUsed/>
    <w:qFormat/>
    <w:rPr/>
  </w:style>
  <w:style w:type="character" w:styleId="TextoindependienteCar" w:customStyle="1">
    <w:name w:val="Texto independiente Car"/>
    <w:qFormat/>
    <w:rsid w:val="00e7596c"/>
    <w:rPr>
      <w:spacing w:val="-1"/>
      <w:lang w:val="x-none" w:eastAsia="x-none"/>
    </w:rPr>
  </w:style>
  <w:style w:type="character" w:styleId="EncabezadoCar" w:customStyle="1">
    <w:name w:val="Encabezado Car"/>
    <w:basedOn w:val="DefaultParagraphFont"/>
    <w:qFormat/>
    <w:rsid w:val="001a3b3d"/>
    <w:rPr/>
  </w:style>
  <w:style w:type="character" w:styleId="PiedepginaCar" w:customStyle="1">
    <w:name w:val="Pie de página Car"/>
    <w:basedOn w:val="DefaultParagraphFont"/>
    <w:qFormat/>
    <w:rsid w:val="001a3b3d"/>
    <w:rPr/>
  </w:style>
  <w:style w:type="character" w:styleId="EnlacedeInternet">
    <w:name w:val="Hyperlink"/>
    <w:basedOn w:val="DefaultParagraphFont"/>
    <w:rsid w:val="000d3b62"/>
    <w:rPr>
      <w:color w:val="0563C1" w:themeColor="hyperlink"/>
      <w:u w:val="single"/>
    </w:rPr>
  </w:style>
  <w:style w:type="character" w:styleId="UnresolvedMention">
    <w:name w:val="Unresolved Mention"/>
    <w:basedOn w:val="DefaultParagraphFont"/>
    <w:uiPriority w:val="99"/>
    <w:semiHidden/>
    <w:unhideWhenUsed/>
    <w:qFormat/>
    <w:rsid w:val="000d3b62"/>
    <w:rPr>
      <w:color w:val="605E5C"/>
      <w:shd w:fill="E1DFDD" w:val="clear"/>
    </w:rPr>
  </w:style>
  <w:style w:type="character" w:styleId="Ttulo2Car" w:customStyle="1">
    <w:name w:val="Título 2 Car"/>
    <w:basedOn w:val="DefaultParagraphFont"/>
    <w:qFormat/>
    <w:rsid w:val="00f13e47"/>
    <w:rPr>
      <w:i/>
      <w:iCs/>
    </w:rPr>
  </w:style>
  <w:style w:type="character" w:styleId="EnlacedeInternetvisitado">
    <w:name w:val="FollowedHyperlink"/>
    <w:basedOn w:val="DefaultParagraphFont"/>
    <w:rsid w:val="00723da1"/>
    <w:rPr>
      <w:color w:val="954F72" w:themeColor="followedHyperlink"/>
      <w:u w:val="single"/>
    </w:rPr>
  </w:style>
  <w:style w:type="character" w:styleId="PlaceholderText">
    <w:name w:val="Placeholder Text"/>
    <w:basedOn w:val="DefaultParagraphFont"/>
    <w:uiPriority w:val="99"/>
    <w:semiHidden/>
    <w:qFormat/>
    <w:rsid w:val="00410679"/>
    <w:rPr>
      <w:color w:val="666666"/>
    </w:rPr>
  </w:style>
  <w:style w:type="paragraph" w:styleId="Ttulo">
    <w:name w:val="Título"/>
    <w:basedOn w:val="Normal"/>
    <w:next w:val="Cuerpodetexto"/>
    <w:qFormat/>
    <w:pPr>
      <w:keepNext w:val="true"/>
      <w:spacing w:before="240" w:after="120"/>
    </w:pPr>
    <w:rPr>
      <w:rFonts w:ascii="Liberation Sans" w:hAnsi="Liberation Sans" w:eastAsia="Noto Sans CJK SC" w:cs="Noto Sans Devanagari"/>
      <w:sz w:val="28"/>
      <w:szCs w:val="28"/>
    </w:rPr>
  </w:style>
  <w:style w:type="paragraph" w:styleId="Cuerpodetexto">
    <w:name w:val="Body Text"/>
    <w:basedOn w:val="Normal"/>
    <w:link w:val="TextoindependienteC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a">
    <w:name w:val="List"/>
    <w:basedOn w:val="Cuerpodetexto"/>
    <w:pPr/>
    <w:rPr>
      <w:rFonts w:cs="Noto Sans Devanagari"/>
    </w:rPr>
  </w:style>
  <w:style w:type="paragraph" w:styleId="Leyenda">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Cuerpodetexto"/>
    <w:qFormat/>
    <w:rsid w:val="001b67dc"/>
    <w:pPr>
      <w:numPr>
        <w:ilvl w:val="0"/>
        <w:numId w:val="1"/>
      </w:numPr>
      <w:ind w:lef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bidi w:val="0"/>
      <w:spacing w:before="80" w:after="200"/>
      <w:ind w:lef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left="58" w:hanging="29"/>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Cabeceraypie">
    <w:name w:val="Cabecera y pie"/>
    <w:basedOn w:val="Normal"/>
    <w:qFormat/>
    <w:pPr/>
    <w:rPr/>
  </w:style>
  <w:style w:type="paragraph" w:styleId="Cabecera">
    <w:name w:val="Header"/>
    <w:basedOn w:val="Normal"/>
    <w:link w:val="EncabezadoCar"/>
    <w:rsid w:val="001a3b3d"/>
    <w:pPr>
      <w:tabs>
        <w:tab w:val="clear" w:pos="720"/>
        <w:tab w:val="center" w:pos="4680" w:leader="none"/>
        <w:tab w:val="right" w:pos="9360" w:leader="none"/>
      </w:tabs>
    </w:pPr>
    <w:rPr/>
  </w:style>
  <w:style w:type="paragraph" w:styleId="Piedepgina">
    <w:name w:val="Footer"/>
    <w:basedOn w:val="Normal"/>
    <w:link w:val="PiedepginaC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gonzalezmarco@edu.gva.es" TargetMode="External"/><Relationship Id="rId3" Type="http://schemas.openxmlformats.org/officeDocument/2006/relationships/hyperlink" Target="http://www.datacentermap.com/" TargetMode="Externa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yperlink" Target="https://www.miteco.gob.es/es/cambio-climatico/temas/mitigacion-politicas-y-medidas/calculadoras.html" TargetMode="External"/><Relationship Id="rId7" Type="http://schemas.openxmlformats.org/officeDocument/2006/relationships/hyperlink" Target="https://www.socomec.es/es/soluciones/por-negocio/nuestras-soluciones-para-centros-de-datos/medir-la-eficacia-del-uso-de-energia-pue" TargetMode="External"/><Relationship Id="rId8" Type="http://schemas.openxmlformats.org/officeDocument/2006/relationships/hyperlink" Target="https://www.nlyte.com/es/blog/understanding-and-calculating-carbon-usage-effectiveness-cue-in-data-centers/" TargetMode="External"/><Relationship Id="rId9" Type="http://schemas.openxmlformats.org/officeDocument/2006/relationships/hyperlink" Target="https://www.azuraconsultancy.com/es/water-usage-effectiveness-wue-as-metrics-for-data-center-efficiency-and-sustainability/" TargetMode="External"/><Relationship Id="rId10" Type="http://schemas.openxmlformats.org/officeDocument/2006/relationships/hyperlink" Target="https://www.mybib.com/tools/apa-citation-generator" TargetMode="External"/><Relationship Id="rId11" Type="http://schemas.openxmlformats.org/officeDocument/2006/relationships/hyperlink" Target="https://www.mybib.com/tools/ieee-citation-generator" TargetMode="External"/><Relationship Id="rId12" Type="http://schemas.openxmlformats.org/officeDocument/2006/relationships/hyperlink" Target="https://www.datacentermap.com/greenland/nuuk/tele-greenland-nuuk/" TargetMode="External"/><Relationship Id="rId13" Type="http://schemas.openxmlformats.org/officeDocument/2006/relationships/hyperlink" Target="https://www.datacentermap.com/greenland/nuuk/tele-greenland-nuuk" TargetMode="External"/><Relationship Id="rId14" Type="http://schemas.openxmlformats.org/officeDocument/2006/relationships/hyperlink" Target="https://www.ieee.org/conferences/publishing/templates"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image" Target="media/image3.png"/></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LibreOffice/7.5.6.2$Linux_X86_64 LibreOffice_project/50$Build-2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2026-10-26T16:14:32Z</dcterms:created>
  <dc:creator>Pau López Núñez</dc:creator>
  <dc:description/>
  <dc:language>es-ES</dc:language>
  <cp:lastModifiedBy>Pau López Núñez</cp:lastModifiedBy>
  <dcterms:modified xsi:type="dcterms:W3CDTF">2026-10-26T16:14:32Z</dcterms:modified>
  <cp:revision>4</cp:revision>
  <dc:subject/>
  <dc:title>Tarea 1.1. Centros de datos</dc:title>
  <cp:keywords/>
  <cp:category/>
</cp:coreProperties>
</file>