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lang w:val="en-GB"/>
        </w:rPr>
      </w:pPr>
      <w:r>
        <w:rPr>
          <w:lang w:val="en-GB"/>
        </w:rPr>
        <w:t>Report Milestone 2.1: Audio Processing</w:t>
      </w:r>
    </w:p>
    <w:p>
      <w:pPr>
        <w:pStyle w:val="Normal"/>
        <w:rPr/>
      </w:pPr>
      <w:r>
        <w:rPr/>
      </w:r>
    </w:p>
    <w:p>
      <w:pPr>
        <w:pStyle w:val="ListParagraph"/>
        <w:numPr>
          <w:ilvl w:val="0"/>
          <w:numId w:val="1"/>
        </w:numPr>
        <w:ind w:hanging="357" w:left="357"/>
        <w:rPr>
          <w:u w:val="single"/>
          <w:lang w:val="en-GB"/>
        </w:rPr>
      </w:pPr>
      <w:r>
        <w:rPr>
          <w:u w:val="single"/>
          <w:lang w:val="en-GB"/>
        </w:rPr>
        <w:t>Obtaining Data and Query Preparation</w:t>
      </w:r>
    </w:p>
    <w:p>
      <w:pPr>
        <w:pStyle w:val="Normal"/>
        <w:rPr>
          <w:lang w:val="en-GB"/>
        </w:rPr>
      </w:pPr>
      <w:r>
        <w:rPr>
          <w:lang w:val="en-GB"/>
        </w:rPr>
        <w:t xml:space="preserve">We used the database raw_30s_audio-21 </w:t>
      </w:r>
      <w:r>
        <w:rPr>
          <w:lang w:val="en-GB"/>
        </w:rPr>
        <w:t>(low quality version)</w:t>
      </w:r>
      <w:r>
        <w:rPr>
          <w:lang w:val="en-GB"/>
        </w:rPr>
        <w:t xml:space="preserve"> which contains 554 songs. From there we randomly selected 20 songs and created the versions original, noise, coding and mobile.</w:t>
      </w:r>
    </w:p>
    <w:p>
      <w:pPr>
        <w:pStyle w:val="Normal"/>
        <w:rPr>
          <w:lang w:val="en-GB"/>
        </w:rPr>
      </w:pPr>
      <w:r>
        <w:rPr>
          <w:lang w:val="en-GB"/>
        </w:rPr>
      </w:r>
    </w:p>
    <w:p>
      <w:pPr>
        <w:pStyle w:val="ListParagraph"/>
        <w:numPr>
          <w:ilvl w:val="0"/>
          <w:numId w:val="1"/>
        </w:numPr>
        <w:ind w:hanging="357" w:left="357"/>
        <w:rPr>
          <w:u w:val="single"/>
          <w:lang w:val="en-GB"/>
        </w:rPr>
      </w:pPr>
      <w:r>
        <w:rPr>
          <w:u w:val="single"/>
          <w:lang w:val="en-GB"/>
        </w:rPr>
        <w:t>Database Preparation</w:t>
      </w:r>
    </w:p>
    <w:p>
      <w:pPr>
        <w:pStyle w:val="Normal"/>
        <w:rPr>
          <w:lang w:val="en-GB"/>
        </w:rPr>
      </w:pPr>
      <w:r>
        <w:rPr>
          <w:lang w:val="en-GB"/>
        </w:rPr>
        <w:t xml:space="preserve">We chose the combinations of the values [5, 11, 21] for κ and [3, 7, 15] for τ. </w:t>
      </w:r>
      <w:r>
        <w:rPr>
          <w:lang w:val="en-GB"/>
        </w:rPr>
        <w:t>(Given below as tuples of (κ, τ).)</w:t>
      </w:r>
    </w:p>
    <w:p>
      <w:pPr>
        <w:pStyle w:val="Normal"/>
        <w:rPr>
          <w:lang w:val="en-GB"/>
        </w:rPr>
      </w:pPr>
      <w:r>
        <w:rPr>
          <w:lang w:val="en-GB"/>
        </w:rPr>
        <w:t xml:space="preserve">We additionally tested three extra combinations [(5, 9), (5, 11), (7, 7)] to explore different settings. </w:t>
      </w:r>
      <w:r>
        <w:rPr>
          <w:lang w:val="en-GB"/>
        </w:rPr>
        <w:t>As you can see below, they did not yield better results though, as the original settings already produce very good results.</w:t>
      </w:r>
    </w:p>
    <w:p>
      <w:pPr>
        <w:pStyle w:val="Normal"/>
        <w:rPr>
          <w:lang w:val="en-GB"/>
        </w:rPr>
      </w:pPr>
      <w:r>
        <w:rPr>
          <w:lang w:val="en-GB"/>
        </w:rPr>
      </w:r>
    </w:p>
    <w:p>
      <w:pPr>
        <w:pStyle w:val="ListParagraph"/>
        <w:numPr>
          <w:ilvl w:val="0"/>
          <w:numId w:val="1"/>
        </w:numPr>
        <w:ind w:hanging="357" w:left="357"/>
        <w:rPr>
          <w:u w:val="single"/>
          <w:lang w:val="en-GB"/>
        </w:rPr>
      </w:pPr>
      <w:r>
        <w:rPr>
          <w:u w:val="single"/>
          <w:lang w:val="en-GB"/>
        </w:rPr>
        <w:t>Retrieval Experimentation</w:t>
      </w:r>
    </w:p>
    <w:p>
      <w:pPr>
        <w:pStyle w:val="Normal"/>
        <w:rPr>
          <w:lang w:val="en-GB"/>
        </w:rPr>
      </w:pPr>
      <w:r>
        <w:rPr>
          <w:lang w:val="en-GB"/>
        </w:rPr>
        <w:t>The reference implementation uses TP only; however, precision, recall, or F measure could be chosen, too. Using only TP is not ideal because it’s biased toward dense regions. Therefore, it’s better to use a scoring method which takes FP and FN into consideration. We used F measure because we experienced the best results with it and it uses precision and recall.</w:t>
      </w:r>
    </w:p>
    <w:p>
      <w:pPr>
        <w:pStyle w:val="Normal"/>
        <w:rPr>
          <w:lang w:val="en-GB"/>
        </w:rPr>
      </w:pPr>
      <w:r>
        <w:rPr>
          <w:b/>
          <w:bCs/>
          <w:lang w:val="en-GB"/>
        </w:rPr>
        <w:t xml:space="preserve">Results: </w:t>
      </w:r>
      <w:r>
        <w:rPr>
          <w:b w:val="false"/>
          <w:bCs w:val="false"/>
          <w:lang w:val="en-GB"/>
        </w:rPr>
        <w:t>(hits/queries)</w:t>
      </w:r>
    </w:p>
    <w:tbl>
      <w:tblPr>
        <w:tblW w:w="9122"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1303"/>
        <w:gridCol w:w="1303"/>
        <w:gridCol w:w="1303"/>
        <w:gridCol w:w="1304"/>
        <w:gridCol w:w="1302"/>
        <w:gridCol w:w="1305"/>
        <w:gridCol w:w="1301"/>
      </w:tblGrid>
      <w:tr>
        <w:trPr>
          <w:trHeight w:val="305" w:hRule="atLeast"/>
        </w:trPr>
        <w:tc>
          <w:tcPr>
            <w:tcW w:w="1303" w:type="dxa"/>
            <w:tcBorders/>
          </w:tcPr>
          <w:p>
            <w:pPr>
              <w:pStyle w:val="Normal"/>
              <w:widowControl/>
              <w:bidi w:val="0"/>
              <w:spacing w:lineRule="auto" w:line="259" w:before="0" w:after="160"/>
              <w:jc w:val="left"/>
              <w:rPr/>
            </w:pPr>
            <w:r>
              <w:rPr/>
            </w:r>
          </w:p>
        </w:tc>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original</w:t>
            </w:r>
          </w:p>
        </w:tc>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coding</w:t>
            </w:r>
          </w:p>
        </w:tc>
        <w:tc>
          <w:tcPr>
            <w:tcW w:w="1304"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noise</w:t>
            </w:r>
          </w:p>
        </w:tc>
        <w:tc>
          <w:tcPr>
            <w:tcW w:w="1302"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mobile</w:t>
            </w:r>
          </w:p>
        </w:tc>
        <w:tc>
          <w:tcPr>
            <w:tcW w:w="1305"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all</w:t>
            </w:r>
          </w:p>
        </w:tc>
        <w:tc>
          <w:tcPr>
            <w:tcW w:w="1301"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time/query</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(5, 3)</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98%</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7,419s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(5, 7)</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FF99" w:fill="auto" w:val="solid"/>
          </w:tcPr>
          <w:p>
            <w:pPr>
              <w:pStyle w:val="Normal"/>
              <w:widowControl/>
              <w:bidi w:val="0"/>
              <w:spacing w:lineRule="auto" w:line="259" w:before="0" w:after="160"/>
              <w:jc w:val="left"/>
              <w:rPr/>
            </w:pPr>
            <w:r>
              <w:rPr/>
              <w:t>99%</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7,05s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(5, 15)</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FF99" w:fill="auto" w:val="solid"/>
          </w:tcPr>
          <w:p>
            <w:pPr>
              <w:pStyle w:val="Normal"/>
              <w:widowControl/>
              <w:bidi w:val="0"/>
              <w:spacing w:lineRule="auto" w:line="259" w:before="0" w:after="160"/>
              <w:jc w:val="left"/>
              <w:rPr/>
            </w:pPr>
            <w:r>
              <w:rPr/>
              <w:t>99%</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6,94s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(11, 3)</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98%</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6,871s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(11, 7)</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FF99" w:fill="auto" w:val="solid"/>
          </w:tcPr>
          <w:p>
            <w:pPr>
              <w:pStyle w:val="Normal"/>
              <w:widowControl/>
              <w:bidi w:val="0"/>
              <w:spacing w:lineRule="auto" w:line="259" w:before="0" w:after="160"/>
              <w:jc w:val="left"/>
              <w:rPr/>
            </w:pPr>
            <w:r>
              <w:rPr/>
              <w:t>99%</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6,886s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(11, 15)</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FF99" w:fill="auto" w:val="solid"/>
          </w:tcPr>
          <w:p>
            <w:pPr>
              <w:pStyle w:val="Normal"/>
              <w:widowControl/>
              <w:bidi w:val="0"/>
              <w:spacing w:lineRule="auto" w:line="259" w:before="0" w:after="160"/>
              <w:jc w:val="left"/>
              <w:rPr/>
            </w:pPr>
            <w:r>
              <w:rPr/>
              <w:t>99%</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7,041s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(21, 3)</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98%</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7,004s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(21, 7)</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98%</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7,0s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(21, 15)</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FF99" w:fill="auto" w:val="solid"/>
          </w:tcPr>
          <w:p>
            <w:pPr>
              <w:pStyle w:val="Normal"/>
              <w:widowControl/>
              <w:bidi w:val="0"/>
              <w:spacing w:lineRule="auto" w:line="259" w:before="0" w:after="160"/>
              <w:jc w:val="left"/>
              <w:rPr/>
            </w:pPr>
            <w:r>
              <w:rPr/>
              <w:t>99%</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7,0s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(5, 9)</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2" w:type="dxa"/>
            <w:tcBorders>
              <w:top w:val="single" w:sz="6" w:space="0" w:color="000000"/>
              <w:left w:val="single" w:sz="6" w:space="0" w:color="000000"/>
              <w:bottom w:val="single" w:sz="6" w:space="0" w:color="000000"/>
              <w:right w:val="single" w:sz="6" w:space="0" w:color="000000"/>
            </w:tcBorders>
            <w:shd w:color="FF99CC" w:fill="auto" w:val="solid"/>
          </w:tcPr>
          <w:p>
            <w:pPr>
              <w:pStyle w:val="Normal"/>
              <w:widowControl/>
              <w:bidi w:val="0"/>
              <w:spacing w:lineRule="auto" w:line="259" w:before="0" w:after="160"/>
              <w:jc w:val="left"/>
              <w:rPr/>
            </w:pPr>
            <w:r>
              <w:rPr/>
              <w:t>90%</w:t>
            </w:r>
          </w:p>
        </w:tc>
        <w:tc>
          <w:tcPr>
            <w:tcW w:w="1305"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96%</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6,894s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(5, 11)</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2" w:type="dxa"/>
            <w:tcBorders>
              <w:top w:val="single" w:sz="6" w:space="0" w:color="000000"/>
              <w:left w:val="single" w:sz="6" w:space="0" w:color="000000"/>
              <w:bottom w:val="single" w:sz="6" w:space="0" w:color="000000"/>
              <w:right w:val="single" w:sz="6" w:space="0" w:color="000000"/>
            </w:tcBorders>
            <w:shd w:color="FF99CC" w:fill="auto" w:val="solid"/>
          </w:tcPr>
          <w:p>
            <w:pPr>
              <w:pStyle w:val="Normal"/>
              <w:widowControl/>
              <w:bidi w:val="0"/>
              <w:spacing w:lineRule="auto" w:line="259" w:before="0" w:after="160"/>
              <w:jc w:val="left"/>
              <w:rPr/>
            </w:pPr>
            <w:r>
              <w:rPr/>
              <w:t>90%</w:t>
            </w:r>
          </w:p>
        </w:tc>
        <w:tc>
          <w:tcPr>
            <w:tcW w:w="1305"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96%</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6,799s</w:t>
            </w:r>
          </w:p>
        </w:tc>
      </w:tr>
      <w:tr>
        <w:trPr>
          <w:trHeight w:val="305" w:hRule="atLeast"/>
        </w:trPr>
        <w:tc>
          <w:tcPr>
            <w:tcW w:w="1303" w:type="dxa"/>
            <w:tcBorders>
              <w:top w:val="single" w:sz="6" w:space="0" w:color="000000"/>
              <w:left w:val="single" w:sz="6" w:space="0" w:color="000000"/>
              <w:bottom w:val="single" w:sz="6" w:space="0" w:color="000000"/>
              <w:right w:val="single" w:sz="6" w:space="0" w:color="000000"/>
            </w:tcBorders>
            <w:shd w:color="C0C0C0" w:fill="auto" w:val="solid"/>
          </w:tcPr>
          <w:p>
            <w:pPr>
              <w:pStyle w:val="Normal"/>
              <w:widowControl/>
              <w:bidi w:val="0"/>
              <w:spacing w:lineRule="auto" w:line="259" w:before="0" w:after="160"/>
              <w:jc w:val="left"/>
              <w:rPr/>
            </w:pPr>
            <w:r>
              <w:rPr/>
              <w:t>(7, 7)</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3" w:type="dxa"/>
            <w:tcBorders>
              <w:top w:val="single" w:sz="6" w:space="0" w:color="000000"/>
              <w:left w:val="single" w:sz="6" w:space="0" w:color="000000"/>
              <w:bottom w:val="single" w:sz="6" w:space="0" w:color="000000"/>
              <w:right w:val="single" w:sz="6" w:space="0" w:color="000000"/>
            </w:tcBorders>
            <w:shd w:color="339966" w:fill="auto" w:val="solid"/>
          </w:tcPr>
          <w:p>
            <w:pPr>
              <w:pStyle w:val="Normal"/>
              <w:widowControl/>
              <w:bidi w:val="0"/>
              <w:spacing w:lineRule="auto" w:line="259" w:before="0" w:after="160"/>
              <w:jc w:val="left"/>
              <w:rPr/>
            </w:pPr>
            <w:r>
              <w:rPr/>
              <w:t>100%</w:t>
            </w:r>
          </w:p>
        </w:tc>
        <w:tc>
          <w:tcPr>
            <w:tcW w:w="1304"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2"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95%</w:t>
            </w:r>
          </w:p>
        </w:tc>
        <w:tc>
          <w:tcPr>
            <w:tcW w:w="1305" w:type="dxa"/>
            <w:tcBorders>
              <w:top w:val="single" w:sz="6" w:space="0" w:color="000000"/>
              <w:left w:val="single" w:sz="6" w:space="0" w:color="000000"/>
              <w:bottom w:val="single" w:sz="6" w:space="0" w:color="000000"/>
              <w:right w:val="single" w:sz="6" w:space="0" w:color="000000"/>
            </w:tcBorders>
            <w:shd w:color="FFCC99" w:fill="auto" w:val="solid"/>
          </w:tcPr>
          <w:p>
            <w:pPr>
              <w:pStyle w:val="Normal"/>
              <w:widowControl/>
              <w:bidi w:val="0"/>
              <w:spacing w:lineRule="auto" w:line="259" w:before="0" w:after="160"/>
              <w:jc w:val="left"/>
              <w:rPr/>
            </w:pPr>
            <w:r>
              <w:rPr/>
              <w:t>98%</w:t>
            </w:r>
          </w:p>
        </w:tc>
        <w:tc>
          <w:tcPr>
            <w:tcW w:w="1301" w:type="dxa"/>
            <w:tcBorders>
              <w:top w:val="single" w:sz="6" w:space="0" w:color="000000"/>
              <w:left w:val="single" w:sz="6" w:space="0" w:color="000000"/>
              <w:bottom w:val="single" w:sz="6" w:space="0" w:color="000000"/>
              <w:right w:val="single" w:sz="6" w:space="0" w:color="000000"/>
            </w:tcBorders>
          </w:tcPr>
          <w:p>
            <w:pPr>
              <w:pStyle w:val="Normal"/>
              <w:widowControl/>
              <w:bidi w:val="0"/>
              <w:spacing w:lineRule="auto" w:line="259" w:before="0" w:after="160"/>
              <w:jc w:val="left"/>
              <w:rPr/>
            </w:pPr>
            <w:r>
              <w:rPr/>
              <w:t>7,9s</w:t>
            </w:r>
          </w:p>
        </w:tc>
      </w:tr>
    </w:tbl>
    <w:p>
      <w:pPr>
        <w:pStyle w:val="Normal"/>
        <w:rPr>
          <w:lang w:val="en-GB"/>
        </w:rPr>
      </w:pPr>
      <w:r>
        <w:rPr>
          <w:lang w:val="en-GB"/>
        </w:rPr>
        <w:t xml:space="preserve"> </w:t>
      </w:r>
    </w:p>
    <w:p>
      <w:pPr>
        <w:pStyle w:val="Normal"/>
        <w:rPr>
          <w:lang w:val="en-GB"/>
        </w:rPr>
      </w:pPr>
      <w:r>
        <w:rPr>
          <w:lang w:val="en-GB"/>
        </w:rPr>
        <w:t>Each of our queries takes on average around 7s to execute and can have an accuracy of 100% with the right settings.</w:t>
      </w:r>
    </w:p>
    <w:p>
      <w:pPr>
        <w:pStyle w:val="Normal"/>
        <w:rPr>
          <w:lang w:val="en-GB"/>
        </w:rPr>
      </w:pPr>
      <w:r>
        <w:rPr>
          <w:lang w:val="en-GB"/>
        </w:rPr>
        <w:t>The best results are with the setting (</w:t>
      </w:r>
      <w:r>
        <w:rPr>
          <w:lang w:val="en-GB"/>
        </w:rPr>
        <w:t>11</w:t>
      </w:r>
      <w:r>
        <w:rPr>
          <w:lang w:val="en-GB"/>
        </w:rPr>
        <w:t xml:space="preserve">, 7), </w:t>
      </w:r>
      <w:r>
        <w:rPr>
          <w:lang w:val="en-GB"/>
        </w:rPr>
        <w:t>as it takes the least amount of time. But the differences are so small that (5, 7), (5, 15), (11, 15), and (21, 15) are also good choices.</w:t>
      </w:r>
    </w:p>
    <w:p>
      <w:pPr>
        <w:pStyle w:val="Normal"/>
        <w:rPr>
          <w:lang w:val="en-GB"/>
        </w:rPr>
      </w:pPr>
      <w:r>
        <w:rPr>
          <w:lang w:val="en-GB"/>
        </w:rPr>
        <w:t>Track 117221 is the hardest to identify because its first 30 seconds contain very few prominent features. This is especially difficult for the noise and mobile queries, where the added noise dominates the signal. This explains why these versions have worse results.</w:t>
      </w:r>
    </w:p>
    <w:p>
      <w:pPr>
        <w:pStyle w:val="Normal"/>
        <w:rPr>
          <w:lang w:val="en-GB"/>
        </w:rPr>
      </w:pPr>
      <w:r>
        <w:rPr>
          <w:lang w:val="en-GB"/>
        </w:rPr>
      </w:r>
    </w:p>
    <w:p>
      <w:pPr>
        <w:pStyle w:val="Normal"/>
        <w:rPr>
          <w:lang w:val="en-GB"/>
        </w:rPr>
      </w:pPr>
      <w:r>
        <w:rPr>
          <w:lang w:val="en-GB"/>
        </w:rPr>
        <w:t>We implemented the following optimizations in order to speed up the retrieval tests:</w:t>
      </w:r>
    </w:p>
    <w:p>
      <w:pPr>
        <w:pStyle w:val="Normal"/>
        <w:numPr>
          <w:ilvl w:val="0"/>
          <w:numId w:val="2"/>
        </w:numPr>
        <w:rPr>
          <w:lang w:val="en-GB"/>
        </w:rPr>
      </w:pPr>
      <w:r>
        <w:rPr>
          <w:lang w:val="en-GB"/>
        </w:rPr>
        <w:t xml:space="preserve">Adjusting the Delta parameter in </w:t>
      </w:r>
      <w:r>
        <w:rPr>
          <w:rFonts w:ascii="Monospace" w:hAnsi="Monospace"/>
          <w:lang w:val="en-GB"/>
        </w:rPr>
        <w:t>compute_matching_function</w:t>
      </w:r>
      <w:r>
        <w:rPr>
          <w:lang w:val="en-GB"/>
        </w:rPr>
        <w:t xml:space="preserve"> to shorten the execution time.</w:t>
      </w:r>
    </w:p>
    <w:p>
      <w:pPr>
        <w:pStyle w:val="Normal"/>
        <w:numPr>
          <w:ilvl w:val="0"/>
          <w:numId w:val="2"/>
        </w:numPr>
        <w:rPr>
          <w:lang w:val="en-GB"/>
        </w:rPr>
      </w:pPr>
      <w:r>
        <w:rPr>
          <w:lang w:val="en-GB"/>
        </w:rPr>
        <w:t>Increasing H in compute_spectrogram, which reduced computation by lowering time resolution (fewer frames). Doubling it has almost no change in the results but increasing it by a higher factor would lead to fewer hits.</w:t>
      </w:r>
    </w:p>
    <w:p>
      <w:pPr>
        <w:pStyle w:val="Normal"/>
        <w:numPr>
          <w:ilvl w:val="0"/>
          <w:numId w:val="2"/>
        </w:numPr>
        <w:rPr>
          <w:lang w:val="en-GB"/>
        </w:rPr>
      </w:pPr>
      <w:r>
        <w:rPr>
          <w:lang w:val="en-GB"/>
        </w:rPr>
        <w:t xml:space="preserve">Replacing </w:t>
      </w:r>
      <w:r>
        <w:rPr>
          <w:rFonts w:ascii="Monospace" w:hAnsi="Monospace"/>
          <w:lang w:val="en-GB"/>
        </w:rPr>
        <w:t>match_binary_matrices_tol</w:t>
      </w:r>
      <w:r>
        <w:rPr>
          <w:lang w:val="en-GB"/>
        </w:rPr>
        <w:t xml:space="preserve"> with a version utilizing numba jit-compilation (see </w:t>
      </w:r>
      <w:r>
        <w:rPr>
          <w:rFonts w:ascii="Monospace" w:hAnsi="Monospace"/>
          <w:lang w:val="en-GB"/>
        </w:rPr>
        <w:t>match_binary_matrices_numba</w:t>
      </w:r>
      <w:r>
        <w:rPr>
          <w:lang w:val="en-GB"/>
        </w:rPr>
        <w:t xml:space="preserve">). This </w:t>
      </w:r>
      <w:r>
        <w:rPr>
          <w:lang w:val="en-GB"/>
        </w:rPr>
        <w:t>has a big impact on execution time.</w:t>
      </w:r>
    </w:p>
    <w:p>
      <w:pPr>
        <w:pStyle w:val="Normal"/>
        <w:rPr>
          <w:lang w:val="en-GB"/>
        </w:rPr>
      </w:pPr>
      <w:r>
        <w:rPr>
          <w:lang w:val="en-GB"/>
        </w:rPr>
      </w:r>
    </w:p>
    <w:p>
      <w:pPr>
        <w:pStyle w:val="Normal"/>
        <w:spacing w:before="0" w:after="160"/>
        <w:rPr>
          <w:lang w:val="en-GB"/>
        </w:rPr>
      </w:pPr>
      <w:r>
        <w:rPr>
          <w:lang w:val="en-GB"/>
        </w:rPr>
      </w:r>
    </w:p>
    <w:sectPr>
      <w:type w:val="nextPage"/>
      <w:pgSz w:w="11906" w:h="16838"/>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Monospace">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de-DE" w:eastAsia="en-US" w:bidi="ar-SA"/>
      <w14:ligatures w14:val="standardContextual"/>
    </w:rPr>
  </w:style>
  <w:style w:type="paragraph" w:styleId="Heading1">
    <w:name w:val="heading 1"/>
    <w:basedOn w:val="Normal"/>
    <w:next w:val="Normal"/>
    <w:link w:val="berschrift1Zchn"/>
    <w:uiPriority w:val="9"/>
    <w:qFormat/>
    <w:rsid w:val="0003702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semiHidden/>
    <w:unhideWhenUsed/>
    <w:qFormat/>
    <w:rsid w:val="0003702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semiHidden/>
    <w:unhideWhenUsed/>
    <w:qFormat/>
    <w:rsid w:val="0003702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rsid w:val="0003702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03702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03702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03702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03702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03702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03702e"/>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03702e"/>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03702e"/>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03702e"/>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03702e"/>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03702e"/>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03702e"/>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03702e"/>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03702e"/>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03702e"/>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03702e"/>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03702e"/>
    <w:rPr>
      <w:i/>
      <w:iCs/>
      <w:color w:themeColor="text1" w:themeTint="bf" w:val="404040"/>
    </w:rPr>
  </w:style>
  <w:style w:type="character" w:styleId="IntenseEmphasis">
    <w:name w:val="Intense Emphasis"/>
    <w:basedOn w:val="DefaultParagraphFont"/>
    <w:uiPriority w:val="21"/>
    <w:qFormat/>
    <w:rsid w:val="0003702e"/>
    <w:rPr>
      <w:i/>
      <w:iCs/>
      <w:color w:themeColor="accent1" w:themeShade="bf" w:val="0F4761"/>
    </w:rPr>
  </w:style>
  <w:style w:type="character" w:styleId="IntensivesZitatZchn" w:customStyle="1">
    <w:name w:val="Intensives Zitat Zchn"/>
    <w:basedOn w:val="DefaultParagraphFont"/>
    <w:link w:val="IntenseQuote"/>
    <w:uiPriority w:val="30"/>
    <w:qFormat/>
    <w:rsid w:val="0003702e"/>
    <w:rPr>
      <w:i/>
      <w:iCs/>
      <w:color w:themeColor="accent1" w:themeShade="bf" w:val="0F4761"/>
    </w:rPr>
  </w:style>
  <w:style w:type="character" w:styleId="IntenseReference">
    <w:name w:val="Intense Reference"/>
    <w:basedOn w:val="DefaultParagraphFont"/>
    <w:uiPriority w:val="32"/>
    <w:qFormat/>
    <w:rsid w:val="0003702e"/>
    <w:rPr>
      <w:b/>
      <w:bCs/>
      <w:smallCaps/>
      <w:color w:themeColor="accent1" w:themeShade="bf" w:val="0F4761"/>
      <w:spacing w:val="5"/>
    </w:rPr>
  </w:style>
  <w:style w:type="character" w:styleId="HTMLVorformatiertZchn" w:customStyle="1">
    <w:name w:val="HTML Vorformatiert Zchn"/>
    <w:basedOn w:val="DefaultParagraphFont"/>
    <w:link w:val="HTMLPreformatted"/>
    <w:uiPriority w:val="99"/>
    <w:semiHidden/>
    <w:qFormat/>
    <w:rsid w:val="001d6a21"/>
    <w:rPr>
      <w:rFonts w:ascii="Consolas" w:hAnsi="Consolas"/>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03702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03702e"/>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03702e"/>
    <w:pPr>
      <w:spacing w:before="160" w:after="160"/>
      <w:jc w:val="center"/>
    </w:pPr>
    <w:rPr>
      <w:i/>
      <w:iCs/>
      <w:color w:themeColor="text1" w:themeTint="bf" w:val="404040"/>
    </w:rPr>
  </w:style>
  <w:style w:type="paragraph" w:styleId="ListParagraph">
    <w:name w:val="List Paragraph"/>
    <w:basedOn w:val="Normal"/>
    <w:uiPriority w:val="34"/>
    <w:qFormat/>
    <w:rsid w:val="0003702e"/>
    <w:pPr>
      <w:spacing w:before="0" w:after="160"/>
      <w:ind w:left="720"/>
      <w:contextualSpacing/>
    </w:pPr>
    <w:rPr/>
  </w:style>
  <w:style w:type="paragraph" w:styleId="IntenseQuote">
    <w:name w:val="Intense Quote"/>
    <w:basedOn w:val="Normal"/>
    <w:next w:val="Normal"/>
    <w:link w:val="IntensivesZitatZchn"/>
    <w:uiPriority w:val="30"/>
    <w:qFormat/>
    <w:rsid w:val="0003702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TMLPreformatted">
    <w:name w:val="HTML Preformatted"/>
    <w:basedOn w:val="Normal"/>
    <w:link w:val="HTMLVorformatiertZchn"/>
    <w:uiPriority w:val="99"/>
    <w:semiHidden/>
    <w:unhideWhenUsed/>
    <w:qFormat/>
    <w:rsid w:val="001d6a21"/>
    <w:pPr>
      <w:spacing w:lineRule="auto" w:line="240" w:before="0" w:after="0"/>
    </w:pPr>
    <w:rPr>
      <w:rFonts w:ascii="Consolas" w:hAnsi="Consolas"/>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362</TotalTime>
  <Application>LibreOffice/24.8.7.2$Linux_X86_64 LibreOffice_project/480$Build-2</Application>
  <AppVersion>15.0000</AppVersion>
  <Pages>2</Pages>
  <Words>445</Words>
  <Characters>2180</Characters>
  <CharactersWithSpaces>2515</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2026-01-04T12:22:00Z</dcterms:created>
  <dc:creator>Hartmann, Paul</dc:creator>
  <dc:description/>
  <dc:language>de-AT</dc:language>
  <cp:lastModifiedBy/>
  <dcterms:modified xsi:type="dcterms:W3CDTF">2026-01-06T23:40:30Z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