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80" w:after="80"/>
      </w:pPr>
      <w:r>
        <w:rPr>
          <w:rFonts w:ascii="Calibri" w:hAnsi="Calibri"/>
          <w:b/>
          <w:color w:val="003366"/>
          <w:sz w:val="32"/>
        </w:rPr>
        <w:t>Anti-Bribery and Corruption Policy</w:t>
      </w:r>
    </w:p>
    <w:tbl>
      <w:tblPr>
        <w:tblW w:type="auto" w:w="0"/>
        <w:jc w:val="center"/>
        <w:tblLook w:firstColumn="1" w:firstRow="1" w:lastColumn="0" w:lastRow="0" w:noHBand="0" w:noVBand="1" w:val="04A0"/>
      </w:tblPr>
      <w:tblGrid>
        <w:gridCol w:w="4680"/>
        <w:gridCol w:w="4680"/>
      </w:tblGrid>
      <w:tr>
        <w:tc>
          <w:tcPr>
            <w:tcW w:type="dxa" w:w="3168"/>
            <w:shd w:fill="003366"/>
            <w:vAlign w:val="center"/>
          </w:tcPr>
          <w:p>
            <w:pPr>
              <w:jc w:val="left"/>
            </w:pPr>
            <w:r>
              <w:rPr>
                <w:rFonts w:ascii="Calibri" w:hAnsi="Calibri"/>
                <w:b/>
                <w:color w:val="FFFFFF"/>
                <w:sz w:val="20"/>
              </w:rPr>
              <w:t>Field</w:t>
            </w:r>
          </w:p>
        </w:tc>
        <w:tc>
          <w:tcPr>
            <w:tcW w:type="dxa" w:w="6192"/>
            <w:shd w:fill="003366"/>
            <w:vAlign w:val="center"/>
          </w:tcPr>
          <w:p>
            <w:pPr>
              <w:jc w:val="left"/>
            </w:pPr>
            <w:r>
              <w:rPr>
                <w:rFonts w:ascii="Calibri" w:hAnsi="Calibri"/>
                <w:b/>
                <w:color w:val="FFFFFF"/>
                <w:sz w:val="20"/>
              </w:rPr>
              <w:t>Details</w:t>
            </w:r>
          </w:p>
        </w:tc>
      </w:tr>
      <w:tr>
        <w:tc>
          <w:tcPr>
            <w:tcW w:type="dxa" w:w="3168"/>
            <w:shd w:fill="F2F5F8"/>
            <w:vAlign w:val="center"/>
          </w:tcPr>
          <w:p>
            <w:pPr>
              <w:jc w:val="left"/>
            </w:pPr>
            <w:r>
              <w:rPr>
                <w:rFonts w:ascii="Calibri" w:hAnsi="Calibri"/>
                <w:color w:val="333333"/>
                <w:sz w:val="20"/>
              </w:rPr>
              <w:t>Document Owner</w:t>
            </w:r>
          </w:p>
        </w:tc>
        <w:tc>
          <w:tcPr>
            <w:tcW w:type="dxa" w:w="6192"/>
            <w:shd w:fill="F2F5F8"/>
            <w:vAlign w:val="center"/>
          </w:tcPr>
          <w:p>
            <w:pPr>
              <w:jc w:val="left"/>
            </w:pPr>
            <w:r>
              <w:rPr>
                <w:rFonts w:ascii="Calibri" w:hAnsi="Calibri"/>
                <w:color w:val="333333"/>
                <w:sz w:val="20"/>
              </w:rPr>
              <w:t>Chief Compliance Officer (CCO)</w:t>
            </w:r>
          </w:p>
        </w:tc>
      </w:tr>
      <w:tr>
        <w:tc>
          <w:tcPr>
            <w:tcW w:type="dxa" w:w="3168"/>
            <w:shd w:fill="FFFFFF"/>
            <w:vAlign w:val="center"/>
          </w:tcPr>
          <w:p>
            <w:pPr>
              <w:jc w:val="left"/>
            </w:pPr>
            <w:r>
              <w:rPr>
                <w:rFonts w:ascii="Calibri" w:hAnsi="Calibri"/>
                <w:color w:val="333333"/>
                <w:sz w:val="20"/>
              </w:rPr>
              <w:t>Department</w:t>
            </w:r>
          </w:p>
        </w:tc>
        <w:tc>
          <w:tcPr>
            <w:tcW w:type="dxa" w:w="6192"/>
            <w:shd w:fill="FFFFFF"/>
            <w:vAlign w:val="center"/>
          </w:tcPr>
          <w:p>
            <w:pPr>
              <w:jc w:val="left"/>
            </w:pPr>
            <w:r>
              <w:rPr>
                <w:rFonts w:ascii="Calibri" w:hAnsi="Calibri"/>
                <w:color w:val="333333"/>
                <w:sz w:val="20"/>
              </w:rPr>
              <w:t>Legal &amp; Compliance</w:t>
            </w:r>
          </w:p>
        </w:tc>
      </w:tr>
      <w:tr>
        <w:tc>
          <w:tcPr>
            <w:tcW w:type="dxa" w:w="3168"/>
            <w:shd w:fill="F2F5F8"/>
            <w:vAlign w:val="center"/>
          </w:tcPr>
          <w:p>
            <w:pPr>
              <w:jc w:val="left"/>
            </w:pPr>
            <w:r>
              <w:rPr>
                <w:rFonts w:ascii="Calibri" w:hAnsi="Calibri"/>
                <w:color w:val="333333"/>
                <w:sz w:val="20"/>
              </w:rPr>
              <w:t>Effective Date</w:t>
            </w:r>
          </w:p>
        </w:tc>
        <w:tc>
          <w:tcPr>
            <w:tcW w:type="dxa" w:w="6192"/>
            <w:shd w:fill="F2F5F8"/>
            <w:vAlign w:val="center"/>
          </w:tcPr>
          <w:p>
            <w:pPr>
              <w:jc w:val="left"/>
            </w:pPr>
            <w:r>
              <w:rPr>
                <w:rFonts w:ascii="Calibri" w:hAnsi="Calibri"/>
                <w:color w:val="333333"/>
                <w:sz w:val="20"/>
              </w:rPr>
              <w:t>March 1, 2026</w:t>
            </w:r>
          </w:p>
        </w:tc>
      </w:tr>
      <w:tr>
        <w:tc>
          <w:tcPr>
            <w:tcW w:type="dxa" w:w="3168"/>
            <w:shd w:fill="FFFFFF"/>
            <w:vAlign w:val="center"/>
          </w:tcPr>
          <w:p>
            <w:pPr>
              <w:jc w:val="left"/>
            </w:pPr>
            <w:r>
              <w:rPr>
                <w:rFonts w:ascii="Calibri" w:hAnsi="Calibri"/>
                <w:color w:val="333333"/>
                <w:sz w:val="20"/>
              </w:rPr>
              <w:t>Lifecycle Status</w:t>
            </w:r>
          </w:p>
        </w:tc>
        <w:tc>
          <w:tcPr>
            <w:tcW w:type="dxa" w:w="6192"/>
            <w:shd w:fill="FFFFFF"/>
            <w:vAlign w:val="center"/>
          </w:tcPr>
          <w:p>
            <w:pPr>
              <w:jc w:val="left"/>
            </w:pPr>
            <w:r>
              <w:rPr>
                <w:rFonts w:ascii="Calibri" w:hAnsi="Calibri"/>
                <w:color w:val="333333"/>
                <w:sz w:val="20"/>
              </w:rPr>
              <w:t>Active</w:t>
            </w:r>
          </w:p>
        </w:tc>
      </w:tr>
      <w:tr>
        <w:tc>
          <w:tcPr>
            <w:tcW w:type="dxa" w:w="3168"/>
            <w:shd w:fill="F2F5F8"/>
            <w:vAlign w:val="center"/>
          </w:tcPr>
          <w:p>
            <w:pPr>
              <w:jc w:val="left"/>
            </w:pPr>
            <w:r>
              <w:rPr>
                <w:rFonts w:ascii="Calibri" w:hAnsi="Calibri"/>
                <w:color w:val="333333"/>
                <w:sz w:val="20"/>
              </w:rPr>
              <w:t>Review Cycle</w:t>
            </w:r>
          </w:p>
        </w:tc>
        <w:tc>
          <w:tcPr>
            <w:tcW w:type="dxa" w:w="6192"/>
            <w:shd w:fill="F2F5F8"/>
            <w:vAlign w:val="center"/>
          </w:tcPr>
          <w:p>
            <w:pPr>
              <w:jc w:val="left"/>
            </w:pPr>
            <w:r>
              <w:rPr>
                <w:rFonts w:ascii="Calibri" w:hAnsi="Calibri"/>
                <w:color w:val="333333"/>
                <w:sz w:val="20"/>
              </w:rPr>
              <w:t>Annual</w:t>
            </w:r>
          </w:p>
        </w:tc>
      </w:tr>
    </w:tbl>
    <w:p>
      <w:pPr>
        <w:spacing w:after="120"/>
      </w:pPr>
    </w:p>
    <w:p>
      <w:pPr>
        <w:pStyle w:val="Heading1"/>
        <w:keepNext/>
        <w:spacing w:before="280" w:after="80"/>
      </w:pPr>
      <w:r>
        <w:rPr>
          <w:rFonts w:ascii="Calibri" w:hAnsi="Calibri"/>
          <w:b/>
          <w:color w:val="003366"/>
          <w:sz w:val="32"/>
        </w:rPr>
        <w:t>1. Purpose</w:t>
      </w:r>
    </w:p>
    <w:p>
      <w:pPr>
        <w:spacing w:after="120" w:line="276" w:lineRule="auto"/>
      </w:pPr>
      <w:r>
        <w:rPr>
          <w:rFonts w:ascii="Calibri" w:hAnsi="Calibri"/>
          <w:color w:val="333333"/>
          <w:sz w:val="22"/>
        </w:rPr>
        <w:t>Apex Global Solutions maintains a zero-tolerance policy regarding bribery, extortion, kickbacks, and corrupt business practices across all operating markets. This policy establishes mandatory standards to ensure full compliance with applicable anti-corruption legislation, including the U.S. Foreign Corrupt Practices Act (FCPA) and the UK Bribery Act 2010. Upholding these standards protects organizational integrity, safeguards operational licenses, and maintains public trust.</w:t>
      </w:r>
    </w:p>
    <w:p>
      <w:pPr>
        <w:pStyle w:val="Heading1"/>
        <w:keepNext/>
        <w:spacing w:before="280" w:after="80"/>
      </w:pPr>
      <w:r>
        <w:rPr>
          <w:rFonts w:ascii="Calibri" w:hAnsi="Calibri"/>
          <w:b/>
          <w:color w:val="003366"/>
          <w:sz w:val="32"/>
        </w:rPr>
        <w:t>2. Scope and Prohibition</w:t>
      </w:r>
    </w:p>
    <w:p>
      <w:pPr>
        <w:spacing w:after="120" w:line="276" w:lineRule="auto"/>
      </w:pPr>
      <w:r>
        <w:rPr>
          <w:rFonts w:ascii="Calibri" w:hAnsi="Calibri"/>
          <w:color w:val="333333"/>
          <w:sz w:val="22"/>
        </w:rPr>
        <w:t>This policy applies to all 850 employees, officers, directors, joint venture partners, sales agents, and third-party intermediaries acting on behalf of Apex Global Solutions. Offering, promising, authorizing, or accepting any bribe, kickback, or financial inducement—whether directly or indirectly through a third party—is strictly prohibited under all circumstances.</w:t>
      </w:r>
    </w:p>
    <w:p>
      <w:pPr>
        <w:pStyle w:val="Heading1"/>
        <w:keepNext/>
        <w:spacing w:before="280" w:after="80"/>
      </w:pPr>
      <w:r>
        <w:rPr>
          <w:rFonts w:ascii="Calibri" w:hAnsi="Calibri"/>
          <w:b/>
          <w:color w:val="003366"/>
          <w:sz w:val="32"/>
        </w:rPr>
        <w:t>3. Gifts, Hospitality, and Entertainment</w:t>
      </w:r>
    </w:p>
    <w:p>
      <w:pPr>
        <w:spacing w:after="120" w:line="276" w:lineRule="auto"/>
      </w:pPr>
      <w:r>
        <w:rPr>
          <w:rFonts w:ascii="Calibri" w:hAnsi="Calibri"/>
          <w:color w:val="333333"/>
          <w:sz w:val="22"/>
        </w:rPr>
        <w:t>Gifts, meals, travel accommodations, and business entertainment provided to or accepted from commercial partners or public officials must be modest, lawful, directly connected to legitimate business activities, and fully documented in corporate records. Any gift or hospitality intended to improperly influence an official decision or gain a business advantage is strictly illegal.</w:t>
      </w:r>
    </w:p>
    <w:p>
      <w:pPr>
        <w:pStyle w:val="Heading2"/>
        <w:keepNext/>
        <w:spacing w:before="200" w:after="60"/>
      </w:pPr>
      <w:r>
        <w:rPr>
          <w:rFonts w:ascii="Calibri" w:hAnsi="Calibri"/>
          <w:b/>
          <w:color w:val="4682B4"/>
          <w:sz w:val="26"/>
        </w:rPr>
        <w:t>3.1 Threshold Matrix for Gifts and Entertainment</w:t>
      </w:r>
    </w:p>
    <w:p>
      <w:pPr>
        <w:spacing w:after="120" w:line="276" w:lineRule="auto"/>
      </w:pPr>
      <w:r>
        <w:rPr>
          <w:rFonts w:ascii="Calibri" w:hAnsi="Calibri"/>
          <w:color w:val="333333"/>
          <w:sz w:val="22"/>
        </w:rPr>
        <w:t>To maintain transparency and eliminate conflicts of interest, all gifts and entertainment provided or received must comply with defined monetary limits. Items falling within specified cost tiers require formal disclosure or written pre-approval prior to acceptance or distribution.</w:t>
      </w:r>
    </w:p>
    <w:tbl>
      <w:tblPr>
        <w:tblW w:type="auto" w:w="0"/>
        <w:jc w:val="center"/>
        <w:tblLook w:firstColumn="1" w:firstRow="1" w:lastColumn="0" w:lastRow="0" w:noHBand="0" w:noVBand="1" w:val="04A0"/>
      </w:tblPr>
      <w:tblGrid>
        <w:gridCol w:w="2340"/>
        <w:gridCol w:w="2340"/>
        <w:gridCol w:w="2340"/>
        <w:gridCol w:w="2340"/>
      </w:tblGrid>
      <w:tr>
        <w:tc>
          <w:tcPr>
            <w:tcW w:type="dxa" w:w="2592"/>
            <w:shd w:fill="003366"/>
            <w:vAlign w:val="center"/>
          </w:tcPr>
          <w:p>
            <w:pPr>
              <w:jc w:val="left"/>
            </w:pPr>
            <w:r>
              <w:rPr>
                <w:rFonts w:ascii="Calibri" w:hAnsi="Calibri"/>
                <w:b/>
                <w:color w:val="FFFFFF"/>
                <w:sz w:val="20"/>
              </w:rPr>
              <w:t>Gift / Entertainment Tier</w:t>
            </w:r>
          </w:p>
        </w:tc>
        <w:tc>
          <w:tcPr>
            <w:tcW w:type="dxa" w:w="2160"/>
            <w:shd w:fill="003366"/>
            <w:vAlign w:val="center"/>
          </w:tcPr>
          <w:p>
            <w:pPr>
              <w:jc w:val="center"/>
            </w:pPr>
            <w:r>
              <w:rPr>
                <w:rFonts w:ascii="Calibri" w:hAnsi="Calibri"/>
                <w:b/>
                <w:color w:val="FFFFFF"/>
                <w:sz w:val="20"/>
              </w:rPr>
              <w:t>Monetary Threshold (per person)</w:t>
            </w:r>
          </w:p>
        </w:tc>
        <w:tc>
          <w:tcPr>
            <w:tcW w:type="dxa" w:w="2592"/>
            <w:shd w:fill="003366"/>
            <w:vAlign w:val="center"/>
          </w:tcPr>
          <w:p>
            <w:pPr>
              <w:jc w:val="left"/>
            </w:pPr>
            <w:r>
              <w:rPr>
                <w:rFonts w:ascii="Calibri" w:hAnsi="Calibri"/>
                <w:b/>
                <w:color w:val="FFFFFF"/>
                <w:sz w:val="20"/>
              </w:rPr>
              <w:t>Approval &amp; Disclosure Action</w:t>
            </w:r>
          </w:p>
        </w:tc>
        <w:tc>
          <w:tcPr>
            <w:tcW w:type="dxa" w:w="2016"/>
            <w:shd w:fill="003366"/>
            <w:vAlign w:val="center"/>
          </w:tcPr>
          <w:p>
            <w:pPr>
              <w:jc w:val="center"/>
            </w:pPr>
            <w:r>
              <w:rPr>
                <w:rFonts w:ascii="Calibri" w:hAnsi="Calibri"/>
                <w:b/>
                <w:color w:val="FFFFFF"/>
                <w:sz w:val="20"/>
              </w:rPr>
              <w:t>Frequency Limit</w:t>
            </w:r>
          </w:p>
        </w:tc>
      </w:tr>
      <w:tr>
        <w:tc>
          <w:tcPr>
            <w:tcW w:type="dxa" w:w="2592"/>
            <w:shd w:fill="F2F5F8"/>
            <w:vAlign w:val="center"/>
          </w:tcPr>
          <w:p>
            <w:pPr>
              <w:jc w:val="left"/>
            </w:pPr>
            <w:r>
              <w:rPr>
                <w:rFonts w:ascii="Calibri" w:hAnsi="Calibri"/>
                <w:color w:val="333333"/>
                <w:sz w:val="20"/>
              </w:rPr>
              <w:t>Nominal / Promotional Items</w:t>
            </w:r>
          </w:p>
        </w:tc>
        <w:tc>
          <w:tcPr>
            <w:tcW w:type="dxa" w:w="2160"/>
            <w:shd w:fill="F2F5F8"/>
            <w:vAlign w:val="center"/>
          </w:tcPr>
          <w:p>
            <w:pPr>
              <w:jc w:val="center"/>
            </w:pPr>
            <w:r>
              <w:rPr>
                <w:rFonts w:ascii="Calibri" w:hAnsi="Calibri"/>
                <w:color w:val="333333"/>
                <w:sz w:val="20"/>
              </w:rPr>
              <w:t>Up to $50.00</w:t>
            </w:r>
          </w:p>
        </w:tc>
        <w:tc>
          <w:tcPr>
            <w:tcW w:type="dxa" w:w="2592"/>
            <w:shd w:fill="F2F5F8"/>
            <w:vAlign w:val="center"/>
          </w:tcPr>
          <w:p>
            <w:pPr>
              <w:jc w:val="left"/>
            </w:pPr>
            <w:r>
              <w:rPr>
                <w:rFonts w:ascii="Calibri" w:hAnsi="Calibri"/>
                <w:color w:val="333333"/>
                <w:sz w:val="20"/>
              </w:rPr>
              <w:t>No prior approval; post-event disclosure optional.</w:t>
            </w:r>
          </w:p>
        </w:tc>
        <w:tc>
          <w:tcPr>
            <w:tcW w:type="dxa" w:w="2016"/>
            <w:shd w:fill="F2F5F8"/>
            <w:vAlign w:val="center"/>
          </w:tcPr>
          <w:p>
            <w:pPr>
              <w:jc w:val="center"/>
            </w:pPr>
            <w:r>
              <w:rPr>
                <w:rFonts w:ascii="Calibri" w:hAnsi="Calibri"/>
                <w:color w:val="333333"/>
                <w:sz w:val="20"/>
              </w:rPr>
              <w:t>Max 4 times per calendar year</w:t>
            </w:r>
          </w:p>
        </w:tc>
      </w:tr>
      <w:tr>
        <w:tc>
          <w:tcPr>
            <w:tcW w:type="dxa" w:w="2592"/>
            <w:shd w:fill="FFFFFF"/>
            <w:vAlign w:val="center"/>
          </w:tcPr>
          <w:p>
            <w:pPr>
              <w:jc w:val="left"/>
            </w:pPr>
            <w:r>
              <w:rPr>
                <w:rFonts w:ascii="Calibri" w:hAnsi="Calibri"/>
                <w:color w:val="333333"/>
                <w:sz w:val="20"/>
              </w:rPr>
              <w:t>Moderate Hospitality &amp; Meals</w:t>
            </w:r>
          </w:p>
        </w:tc>
        <w:tc>
          <w:tcPr>
            <w:tcW w:type="dxa" w:w="2160"/>
            <w:shd w:fill="FFFFFF"/>
            <w:vAlign w:val="center"/>
          </w:tcPr>
          <w:p>
            <w:pPr>
              <w:jc w:val="center"/>
            </w:pPr>
            <w:r>
              <w:rPr>
                <w:rFonts w:ascii="Calibri" w:hAnsi="Calibri"/>
                <w:color w:val="333333"/>
                <w:sz w:val="20"/>
              </w:rPr>
              <w:t>$50.01 – $150.00</w:t>
            </w:r>
          </w:p>
        </w:tc>
        <w:tc>
          <w:tcPr>
            <w:tcW w:type="dxa" w:w="2592"/>
            <w:shd w:fill="FFFFFF"/>
            <w:vAlign w:val="center"/>
          </w:tcPr>
          <w:p>
            <w:pPr>
              <w:jc w:val="left"/>
            </w:pPr>
            <w:r>
              <w:rPr>
                <w:rFonts w:ascii="Calibri" w:hAnsi="Calibri"/>
                <w:color w:val="333333"/>
                <w:sz w:val="20"/>
              </w:rPr>
              <w:t>Mandatory entry in Corporate Gift Register within 5 days.</w:t>
            </w:r>
          </w:p>
        </w:tc>
        <w:tc>
          <w:tcPr>
            <w:tcW w:type="dxa" w:w="2016"/>
            <w:shd w:fill="FFFFFF"/>
            <w:vAlign w:val="center"/>
          </w:tcPr>
          <w:p>
            <w:pPr>
              <w:jc w:val="center"/>
            </w:pPr>
            <w:r>
              <w:rPr>
                <w:rFonts w:ascii="Calibri" w:hAnsi="Calibri"/>
                <w:color w:val="333333"/>
                <w:sz w:val="20"/>
              </w:rPr>
              <w:t>Max 2 times per calendar year</w:t>
            </w:r>
          </w:p>
        </w:tc>
      </w:tr>
      <w:tr>
        <w:tc>
          <w:tcPr>
            <w:tcW w:type="dxa" w:w="2592"/>
            <w:shd w:fill="F2F5F8"/>
            <w:vAlign w:val="center"/>
          </w:tcPr>
          <w:p>
            <w:pPr>
              <w:jc w:val="left"/>
            </w:pPr>
            <w:r>
              <w:rPr>
                <w:rFonts w:ascii="Calibri" w:hAnsi="Calibri"/>
                <w:color w:val="333333"/>
                <w:sz w:val="20"/>
              </w:rPr>
              <w:t>High-Value Gifts &amp; Entertainment</w:t>
            </w:r>
          </w:p>
        </w:tc>
        <w:tc>
          <w:tcPr>
            <w:tcW w:type="dxa" w:w="2160"/>
            <w:shd w:fill="F2F5F8"/>
            <w:vAlign w:val="center"/>
          </w:tcPr>
          <w:p>
            <w:pPr>
              <w:jc w:val="center"/>
            </w:pPr>
            <w:r>
              <w:rPr>
                <w:rFonts w:ascii="Calibri" w:hAnsi="Calibri"/>
                <w:color w:val="333333"/>
                <w:sz w:val="20"/>
              </w:rPr>
              <w:t>$150.01 – $500.00</w:t>
            </w:r>
          </w:p>
        </w:tc>
        <w:tc>
          <w:tcPr>
            <w:tcW w:type="dxa" w:w="2592"/>
            <w:shd w:fill="F2F5F8"/>
            <w:vAlign w:val="center"/>
          </w:tcPr>
          <w:p>
            <w:pPr>
              <w:jc w:val="left"/>
            </w:pPr>
            <w:r>
              <w:rPr>
                <w:rFonts w:ascii="Calibri" w:hAnsi="Calibri"/>
                <w:color w:val="333333"/>
                <w:sz w:val="20"/>
              </w:rPr>
              <w:t>Written pre-approval required from Department Vice President.</w:t>
            </w:r>
          </w:p>
        </w:tc>
        <w:tc>
          <w:tcPr>
            <w:tcW w:type="dxa" w:w="2016"/>
            <w:shd w:fill="F2F5F8"/>
            <w:vAlign w:val="center"/>
          </w:tcPr>
          <w:p>
            <w:pPr>
              <w:jc w:val="center"/>
            </w:pPr>
            <w:r>
              <w:rPr>
                <w:rFonts w:ascii="Calibri" w:hAnsi="Calibri"/>
                <w:color w:val="333333"/>
                <w:sz w:val="20"/>
              </w:rPr>
              <w:t>Max 1 time per calendar year</w:t>
            </w:r>
          </w:p>
        </w:tc>
      </w:tr>
      <w:tr>
        <w:tc>
          <w:tcPr>
            <w:tcW w:type="dxa" w:w="2592"/>
            <w:shd w:fill="FFFFFF"/>
            <w:vAlign w:val="center"/>
          </w:tcPr>
          <w:p>
            <w:pPr>
              <w:jc w:val="left"/>
            </w:pPr>
            <w:r>
              <w:rPr>
                <w:rFonts w:ascii="Calibri" w:hAnsi="Calibri"/>
                <w:color w:val="333333"/>
                <w:sz w:val="20"/>
              </w:rPr>
              <w:t>Prohibited / Exceptional Category</w:t>
            </w:r>
          </w:p>
        </w:tc>
        <w:tc>
          <w:tcPr>
            <w:tcW w:type="dxa" w:w="2160"/>
            <w:shd w:fill="FFFFFF"/>
            <w:vAlign w:val="center"/>
          </w:tcPr>
          <w:p>
            <w:pPr>
              <w:jc w:val="center"/>
            </w:pPr>
            <w:r>
              <w:rPr>
                <w:rFonts w:ascii="Calibri" w:hAnsi="Calibri"/>
                <w:color w:val="333333"/>
                <w:sz w:val="20"/>
              </w:rPr>
              <w:t>Exceeding $500.00</w:t>
            </w:r>
          </w:p>
        </w:tc>
        <w:tc>
          <w:tcPr>
            <w:tcW w:type="dxa" w:w="2592"/>
            <w:shd w:fill="FFFFFF"/>
            <w:vAlign w:val="center"/>
          </w:tcPr>
          <w:p>
            <w:pPr>
              <w:jc w:val="left"/>
            </w:pPr>
            <w:r>
              <w:rPr>
                <w:rFonts w:ascii="Calibri" w:hAnsi="Calibri"/>
                <w:color w:val="333333"/>
                <w:sz w:val="20"/>
              </w:rPr>
              <w:t>Strictly Prohibited without CCO and Legal Counsel sign-off.</w:t>
            </w:r>
          </w:p>
        </w:tc>
        <w:tc>
          <w:tcPr>
            <w:tcW w:type="dxa" w:w="2016"/>
            <w:shd w:fill="FFFFFF"/>
            <w:vAlign w:val="center"/>
          </w:tcPr>
          <w:p>
            <w:pPr>
              <w:jc w:val="center"/>
            </w:pPr>
            <w:r>
              <w:rPr>
                <w:rFonts w:ascii="Calibri" w:hAnsi="Calibri"/>
                <w:color w:val="333333"/>
                <w:sz w:val="20"/>
              </w:rPr>
              <w:t>Prohibited</w:t>
            </w:r>
          </w:p>
        </w:tc>
      </w:tr>
    </w:tbl>
    <w:p>
      <w:pPr>
        <w:spacing w:after="120"/>
      </w:pPr>
    </w:p>
    <w:p>
      <w:pPr>
        <w:pStyle w:val="Heading2"/>
        <w:keepNext/>
        <w:spacing w:before="200" w:after="60"/>
      </w:pPr>
      <w:r>
        <w:rPr>
          <w:rFonts w:ascii="Calibri" w:hAnsi="Calibri"/>
          <w:b/>
          <w:color w:val="4682B4"/>
          <w:sz w:val="26"/>
        </w:rPr>
        <w:t>3.2 Public Official Interactions</w:t>
      </w:r>
    </w:p>
    <w:p>
      <w:pPr>
        <w:spacing w:after="120" w:line="276" w:lineRule="auto"/>
      </w:pPr>
      <w:r>
        <w:rPr>
          <w:rFonts w:ascii="Calibri" w:hAnsi="Calibri"/>
          <w:color w:val="333333"/>
          <w:sz w:val="22"/>
        </w:rPr>
        <w:t>Gifts, meals, or travel provided to government officials, regulatory inspectors, or state-owned enterprise employees carry heightened legal risks. Any gift or meal provided to a public official exceeding $25.00 requires advance written clearance from the Chief Compliance Officer. Cash gifts, gift cards, luxury items, and private travel accommodations for public officials are strictly forbidden.</w:t>
      </w:r>
    </w:p>
    <w:p>
      <w:pPr>
        <w:pStyle w:val="Heading1"/>
        <w:keepNext/>
        <w:spacing w:before="280" w:after="80"/>
      </w:pPr>
      <w:r>
        <w:rPr>
          <w:rFonts w:ascii="Calibri" w:hAnsi="Calibri"/>
          <w:b/>
          <w:color w:val="003366"/>
          <w:sz w:val="32"/>
        </w:rPr>
        <w:t>4. Facilitation Payments and Charitable Contributions</w:t>
      </w:r>
    </w:p>
    <w:p>
      <w:pPr>
        <w:spacing w:after="120" w:line="276" w:lineRule="auto"/>
      </w:pPr>
      <w:r>
        <w:rPr>
          <w:rFonts w:ascii="Calibri" w:hAnsi="Calibri"/>
          <w:color w:val="333333"/>
          <w:sz w:val="22"/>
        </w:rPr>
        <w:t>Facilitation payments—small informal payments made to secure, expedite, or routine government actions such as visa processing, customs clearance, or utility connections—are strictly prohibited regardless of local business customs. Employees encountering extortion demands where personal safety or physical security is threatened may make necessary emergency payments, provided the event is formally reported to Legal within 24 hours.</w:t>
      </w:r>
    </w:p>
    <w:p>
      <w:pPr>
        <w:pStyle w:val="Heading1"/>
        <w:keepNext/>
        <w:spacing w:before="280" w:after="80"/>
      </w:pPr>
      <w:r>
        <w:rPr>
          <w:rFonts w:ascii="Calibri" w:hAnsi="Calibri"/>
          <w:b/>
          <w:color w:val="003366"/>
          <w:sz w:val="32"/>
        </w:rPr>
        <w:t>5. Third-Party Risk Management and Due Diligence</w:t>
      </w:r>
    </w:p>
    <w:p>
      <w:pPr>
        <w:spacing w:after="120" w:line="276" w:lineRule="auto"/>
      </w:pPr>
      <w:r>
        <w:rPr>
          <w:rFonts w:ascii="Calibri" w:hAnsi="Calibri"/>
          <w:color w:val="333333"/>
          <w:sz w:val="22"/>
        </w:rPr>
        <w:t>The company can be held legally liable for corrupt acts committed by third-party intermediaries, sales agents, consultants, and distributors. Prior to engaging any foreign third party, project managers must complete formal anti-corruption due diligence reviews.</w:t>
      </w:r>
    </w:p>
    <w:p>
      <w:pPr>
        <w:pStyle w:val="Heading2"/>
        <w:keepNext/>
        <w:spacing w:before="200" w:after="60"/>
      </w:pPr>
      <w:r>
        <w:rPr>
          <w:rFonts w:ascii="Calibri" w:hAnsi="Calibri"/>
          <w:b/>
          <w:color w:val="4682B4"/>
          <w:sz w:val="26"/>
        </w:rPr>
        <w:t>5.1 Due Diligence Screening Requirements</w:t>
      </w:r>
    </w:p>
    <w:p>
      <w:pPr>
        <w:spacing w:after="120" w:line="276" w:lineRule="auto"/>
      </w:pPr>
      <w:r>
        <w:rPr>
          <w:rFonts w:ascii="Calibri" w:hAnsi="Calibri"/>
          <w:color w:val="333333"/>
          <w:sz w:val="22"/>
        </w:rPr>
        <w:t>Due diligence questionnaires and background screening must be conducted for all third parties involved in government interactions or contracts valued over $100,000. Screening records must evaluate beneficial ownership, sanction lists, regulatory enforcement history, and politically exposed person (PEP) status. Third-party risk profiles must be formally reassessed every 24 months.</w:t>
      </w:r>
    </w:p>
    <w:p>
      <w:pPr>
        <w:pStyle w:val="Heading2"/>
        <w:keepNext/>
        <w:spacing w:before="200" w:after="60"/>
      </w:pPr>
      <w:r>
        <w:rPr>
          <w:rFonts w:ascii="Calibri" w:hAnsi="Calibri"/>
          <w:b/>
          <w:color w:val="4682B4"/>
          <w:sz w:val="26"/>
        </w:rPr>
        <w:t>5.2 Mandatory Contractual Safeguards</w:t>
      </w:r>
    </w:p>
    <w:p>
      <w:pPr>
        <w:spacing w:after="120" w:line="276" w:lineRule="auto"/>
      </w:pPr>
      <w:r>
        <w:rPr>
          <w:rFonts w:ascii="Calibri" w:hAnsi="Calibri"/>
          <w:color w:val="333333"/>
          <w:sz w:val="22"/>
        </w:rPr>
        <w:t>All third-party contracts must contain mandatory anti-corruption compliance clauses, audit rights enabling the company to inspect accounting logs, and termination provisions triggering immediate contract cancellation without penalty in the event of an anti-bribery violation.</w:t>
      </w:r>
    </w:p>
    <w:p>
      <w:pPr>
        <w:pStyle w:val="Heading1"/>
        <w:keepNext/>
        <w:spacing w:before="280" w:after="80"/>
      </w:pPr>
      <w:r>
        <w:rPr>
          <w:rFonts w:ascii="Calibri" w:hAnsi="Calibri"/>
          <w:b/>
          <w:color w:val="003366"/>
          <w:sz w:val="32"/>
        </w:rPr>
        <w:t>6. Reporting Obligations, Training, and Enforcement</w:t>
      </w:r>
    </w:p>
    <w:p>
      <w:pPr>
        <w:spacing w:after="120" w:line="276" w:lineRule="auto"/>
      </w:pPr>
      <w:r>
        <w:rPr>
          <w:rFonts w:ascii="Calibri" w:hAnsi="Calibri"/>
          <w:color w:val="333333"/>
          <w:sz w:val="22"/>
        </w:rPr>
        <w:t>All employees must complete mandatory annual anti-bribery compliance training within 30 days of hire and annually thereafter. Employees who observe or suspect potential violations of this policy are required to report their concerns immediately to the Chief Compliance Officer or via the 24/7 Anonymous Compliance Hotline at 1-800-555-ETHICS. The company strictly prohibits retaliation against any employee who reports suspected corruption in good faith.</w:t>
      </w:r>
    </w:p>
    <w:p>
      <w:pPr>
        <w:spacing w:after="120" w:line="276" w:lineRule="auto"/>
      </w:pPr>
      <w:r>
        <w:rPr>
          <w:rFonts w:ascii="Calibri" w:hAnsi="Calibri"/>
          <w:color w:val="333333"/>
          <w:sz w:val="22"/>
        </w:rPr>
        <w:t>Violations of this policy carry severe consequences, including summary dismissal for gross misconduct, forfeiture of discretionary bonuses, and potential personal liability under federal and international anti-corruption statutes, which may carry criminal fines up to $250,000 and imprisonment for up to 5 years per violation.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