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80"/>
      </w:pPr>
      <w:r>
        <w:rPr>
          <w:rFonts w:ascii="Calibri" w:hAnsi="Calibri"/>
          <w:b/>
          <w:color w:val="003366"/>
          <w:sz w:val="32"/>
        </w:rPr>
        <w:t>Corporate Expense Reimbursement Policy</w:t>
      </w:r>
    </w:p>
    <w:tbl>
      <w:tblPr>
        <w:tblW w:type="auto" w:w="0"/>
        <w:jc w:val="center"/>
        <w:tblLook w:firstColumn="1" w:firstRow="1" w:lastColumn="0" w:lastRow="0" w:noHBand="0" w:noVBand="1" w:val="04A0"/>
      </w:tblPr>
      <w:tblGrid>
        <w:gridCol w:w="4680"/>
        <w:gridCol w:w="4680"/>
      </w:tblGrid>
      <w:tr>
        <w:tc>
          <w:tcPr>
            <w:tcW w:type="dxa" w:w="3168"/>
            <w:shd w:fill="003366"/>
            <w:vAlign w:val="center"/>
          </w:tcPr>
          <w:p>
            <w:pPr>
              <w:jc w:val="left"/>
            </w:pPr>
            <w:r>
              <w:rPr>
                <w:rFonts w:ascii="Calibri" w:hAnsi="Calibri"/>
                <w:b/>
                <w:color w:val="FFFFFF"/>
                <w:sz w:val="20"/>
              </w:rPr>
              <w:t>Field</w:t>
            </w:r>
          </w:p>
        </w:tc>
        <w:tc>
          <w:tcPr>
            <w:tcW w:type="dxa" w:w="6192"/>
            <w:shd w:fill="003366"/>
            <w:vAlign w:val="center"/>
          </w:tcPr>
          <w:p>
            <w:pPr>
              <w:jc w:val="left"/>
            </w:pPr>
            <w:r>
              <w:rPr>
                <w:rFonts w:ascii="Calibri" w:hAnsi="Calibri"/>
                <w:b/>
                <w:color w:val="FFFFFF"/>
                <w:sz w:val="20"/>
              </w:rPr>
              <w:t>Details</w:t>
            </w:r>
          </w:p>
        </w:tc>
      </w:tr>
      <w:tr>
        <w:tc>
          <w:tcPr>
            <w:tcW w:type="dxa" w:w="3168"/>
            <w:shd w:fill="F2F5F8"/>
            <w:vAlign w:val="center"/>
          </w:tcPr>
          <w:p>
            <w:pPr>
              <w:jc w:val="left"/>
            </w:pPr>
            <w:r>
              <w:rPr>
                <w:rFonts w:ascii="Calibri" w:hAnsi="Calibri"/>
                <w:color w:val="333333"/>
                <w:sz w:val="20"/>
              </w:rPr>
              <w:t>Document Owner</w:t>
            </w:r>
          </w:p>
        </w:tc>
        <w:tc>
          <w:tcPr>
            <w:tcW w:type="dxa" w:w="6192"/>
            <w:shd w:fill="F2F5F8"/>
            <w:vAlign w:val="center"/>
          </w:tcPr>
          <w:p>
            <w:pPr>
              <w:jc w:val="left"/>
            </w:pPr>
            <w:r>
              <w:rPr>
                <w:rFonts w:ascii="Calibri" w:hAnsi="Calibri"/>
                <w:color w:val="333333"/>
                <w:sz w:val="20"/>
              </w:rPr>
              <w:t>Chief Financial Officer (CFO)</w:t>
            </w:r>
          </w:p>
        </w:tc>
      </w:tr>
      <w:tr>
        <w:tc>
          <w:tcPr>
            <w:tcW w:type="dxa" w:w="3168"/>
            <w:shd w:fill="FFFFFF"/>
            <w:vAlign w:val="center"/>
          </w:tcPr>
          <w:p>
            <w:pPr>
              <w:jc w:val="left"/>
            </w:pPr>
            <w:r>
              <w:rPr>
                <w:rFonts w:ascii="Calibri" w:hAnsi="Calibri"/>
                <w:color w:val="333333"/>
                <w:sz w:val="20"/>
              </w:rPr>
              <w:t>Department</w:t>
            </w:r>
          </w:p>
        </w:tc>
        <w:tc>
          <w:tcPr>
            <w:tcW w:type="dxa" w:w="6192"/>
            <w:shd w:fill="FFFFFF"/>
            <w:vAlign w:val="center"/>
          </w:tcPr>
          <w:p>
            <w:pPr>
              <w:jc w:val="left"/>
            </w:pPr>
            <w:r>
              <w:rPr>
                <w:rFonts w:ascii="Calibri" w:hAnsi="Calibri"/>
                <w:color w:val="333333"/>
                <w:sz w:val="20"/>
              </w:rPr>
              <w:t>Finance &amp; Accounting</w:t>
            </w:r>
          </w:p>
        </w:tc>
      </w:tr>
      <w:tr>
        <w:tc>
          <w:tcPr>
            <w:tcW w:type="dxa" w:w="3168"/>
            <w:shd w:fill="F2F5F8"/>
            <w:vAlign w:val="center"/>
          </w:tcPr>
          <w:p>
            <w:pPr>
              <w:jc w:val="left"/>
            </w:pPr>
            <w:r>
              <w:rPr>
                <w:rFonts w:ascii="Calibri" w:hAnsi="Calibri"/>
                <w:color w:val="333333"/>
                <w:sz w:val="20"/>
              </w:rPr>
              <w:t>Effective Date</w:t>
            </w:r>
          </w:p>
        </w:tc>
        <w:tc>
          <w:tcPr>
            <w:tcW w:type="dxa" w:w="6192"/>
            <w:shd w:fill="F2F5F8"/>
            <w:vAlign w:val="center"/>
          </w:tcPr>
          <w:p>
            <w:pPr>
              <w:jc w:val="left"/>
            </w:pPr>
            <w:r>
              <w:rPr>
                <w:rFonts w:ascii="Calibri" w:hAnsi="Calibri"/>
                <w:color w:val="333333"/>
                <w:sz w:val="20"/>
              </w:rPr>
              <w:t>January 15, 2026</w:t>
            </w:r>
          </w:p>
        </w:tc>
      </w:tr>
      <w:tr>
        <w:tc>
          <w:tcPr>
            <w:tcW w:type="dxa" w:w="3168"/>
            <w:shd w:fill="FFFFFF"/>
            <w:vAlign w:val="center"/>
          </w:tcPr>
          <w:p>
            <w:pPr>
              <w:jc w:val="left"/>
            </w:pPr>
            <w:r>
              <w:rPr>
                <w:rFonts w:ascii="Calibri" w:hAnsi="Calibri"/>
                <w:color w:val="333333"/>
                <w:sz w:val="20"/>
              </w:rPr>
              <w:t>Lifecycle Status</w:t>
            </w:r>
          </w:p>
        </w:tc>
        <w:tc>
          <w:tcPr>
            <w:tcW w:type="dxa" w:w="6192"/>
            <w:shd w:fill="FFFFFF"/>
            <w:vAlign w:val="center"/>
          </w:tcPr>
          <w:p>
            <w:pPr>
              <w:jc w:val="left"/>
            </w:pPr>
            <w:r>
              <w:rPr>
                <w:rFonts w:ascii="Calibri" w:hAnsi="Calibri"/>
                <w:color w:val="333333"/>
                <w:sz w:val="20"/>
              </w:rPr>
              <w:t>Active</w:t>
            </w:r>
          </w:p>
        </w:tc>
      </w:tr>
      <w:tr>
        <w:tc>
          <w:tcPr>
            <w:tcW w:type="dxa" w:w="3168"/>
            <w:shd w:fill="F2F5F8"/>
            <w:vAlign w:val="center"/>
          </w:tcPr>
          <w:p>
            <w:pPr>
              <w:jc w:val="left"/>
            </w:pPr>
            <w:r>
              <w:rPr>
                <w:rFonts w:ascii="Calibri" w:hAnsi="Calibri"/>
                <w:color w:val="333333"/>
                <w:sz w:val="20"/>
              </w:rPr>
              <w:t>Review Cycle</w:t>
            </w:r>
          </w:p>
        </w:tc>
        <w:tc>
          <w:tcPr>
            <w:tcW w:type="dxa" w:w="6192"/>
            <w:shd w:fill="F2F5F8"/>
            <w:vAlign w:val="center"/>
          </w:tcPr>
          <w:p>
            <w:pPr>
              <w:jc w:val="left"/>
            </w:pPr>
            <w:r>
              <w:rPr>
                <w:rFonts w:ascii="Calibri" w:hAnsi="Calibri"/>
                <w:color w:val="333333"/>
                <w:sz w:val="20"/>
              </w:rPr>
              <w:t>Annual</w:t>
            </w:r>
          </w:p>
        </w:tc>
      </w:tr>
    </w:tbl>
    <w:p>
      <w:pPr>
        <w:spacing w:after="120"/>
      </w:pPr>
    </w:p>
    <w:p>
      <w:pPr>
        <w:pStyle w:val="Heading1"/>
        <w:keepNext/>
        <w:spacing w:before="280" w:after="80"/>
      </w:pPr>
      <w:r>
        <w:rPr>
          <w:rFonts w:ascii="Calibri" w:hAnsi="Calibri"/>
          <w:b/>
          <w:color w:val="003366"/>
          <w:sz w:val="32"/>
        </w:rPr>
        <w:t>1. Purpose</w:t>
      </w:r>
    </w:p>
    <w:p>
      <w:pPr>
        <w:spacing w:after="120" w:line="276" w:lineRule="auto"/>
      </w:pPr>
      <w:r>
        <w:rPr>
          <w:rFonts w:ascii="Calibri" w:hAnsi="Calibri"/>
          <w:color w:val="333333"/>
          <w:sz w:val="22"/>
        </w:rPr>
        <w:t>Apex Global Solutions provides clear standards to ensure that employees who incur necessary business expenses while conducting company affairs are reimbursed in a fair, accurate, and timely manner. This policy establishes the official guidelines for expense authorization, documentation compliance, and fiscal oversight across all corporate entities. Adherence to these standards protects the company against non-deductible tax liabilities and ensures full compliance with internal controls and audit requirements.</w:t>
      </w:r>
    </w:p>
    <w:p>
      <w:pPr>
        <w:pStyle w:val="Heading1"/>
        <w:keepNext/>
        <w:spacing w:before="280" w:after="80"/>
      </w:pPr>
      <w:r>
        <w:rPr>
          <w:rFonts w:ascii="Calibri" w:hAnsi="Calibri"/>
          <w:b/>
          <w:color w:val="003366"/>
          <w:sz w:val="32"/>
        </w:rPr>
        <w:t>2. Eligible Business Expenses</w:t>
      </w:r>
    </w:p>
    <w:p>
      <w:pPr>
        <w:spacing w:after="120" w:line="276" w:lineRule="auto"/>
      </w:pPr>
      <w:r>
        <w:rPr>
          <w:rFonts w:ascii="Calibri" w:hAnsi="Calibri"/>
          <w:color w:val="333333"/>
          <w:sz w:val="22"/>
        </w:rPr>
        <w:t>Reimbursable expenses must be reasonable, necessary, and directly related to official company operations or client management. Approved categories include corporate travel lodging, commercial transportation (economy airfare, rail, ride-share), client business meals, professional development, and required office supplies purchased for remote work operations. Personal expenditures, luxury upgrades, family travel costs, traffic fines, and alcohol purchases exceeding standard meal limits are strictly non-reimbursable.</w:t>
      </w:r>
    </w:p>
    <w:p>
      <w:pPr>
        <w:pStyle w:val="Heading1"/>
        <w:keepNext/>
        <w:spacing w:before="280" w:after="80"/>
      </w:pPr>
      <w:r>
        <w:rPr>
          <w:rFonts w:ascii="Calibri" w:hAnsi="Calibri"/>
          <w:b/>
          <w:color w:val="003366"/>
          <w:sz w:val="32"/>
        </w:rPr>
        <w:t>3. Expense Documentation and Submission</w:t>
      </w:r>
    </w:p>
    <w:p>
      <w:pPr>
        <w:spacing w:after="120" w:line="276" w:lineRule="auto"/>
      </w:pPr>
      <w:r>
        <w:rPr>
          <w:rFonts w:ascii="Calibri" w:hAnsi="Calibri"/>
          <w:color w:val="333333"/>
          <w:sz w:val="22"/>
        </w:rPr>
        <w:t>All expense claims must be submitted electronically via the corporate expense portal within 30 calendar days of the date the expense was incurred. Late submissions submitted beyond 60 calendar days will require written executive justification from a Department Vice President and may be rejected for reimbursement. Employees must submit claims in USD, with foreign expenditures converted at the prevailing exchange rate on the transaction date.</w:t>
      </w:r>
    </w:p>
    <w:p>
      <w:pPr>
        <w:pStyle w:val="Heading2"/>
        <w:keepNext/>
        <w:spacing w:before="200" w:after="60"/>
      </w:pPr>
      <w:r>
        <w:rPr>
          <w:rFonts w:ascii="Calibri" w:hAnsi="Calibri"/>
          <w:b/>
          <w:color w:val="4682B4"/>
          <w:sz w:val="26"/>
        </w:rPr>
        <w:t>3.1 Receipt Requirements and Itemization</w:t>
      </w:r>
    </w:p>
    <w:p>
      <w:pPr>
        <w:spacing w:after="120" w:line="276" w:lineRule="auto"/>
      </w:pPr>
      <w:r>
        <w:rPr>
          <w:rFonts w:ascii="Calibri" w:hAnsi="Calibri"/>
          <w:color w:val="333333"/>
          <w:sz w:val="22"/>
        </w:rPr>
        <w:t>Detailed itemized receipts are mandatory for any individual business expense exceeding $25.00. Credit card charge slips or bank statements alone do not constitute valid proof of purchase and must be accompanied by an itemized receipt showing individual line items, merchant name, transaction date, and payment status. For lost receipts exceeding $25.00, employees must submit a signed Missing Receipt Declaration Form, limited to a maximum of 2 declarations per fiscal year.</w:t>
      </w:r>
    </w:p>
    <w:p>
      <w:pPr>
        <w:pStyle w:val="Heading2"/>
        <w:keepNext/>
        <w:spacing w:before="200" w:after="60"/>
      </w:pPr>
      <w:r>
        <w:rPr>
          <w:rFonts w:ascii="Calibri" w:hAnsi="Calibri"/>
          <w:b/>
          <w:color w:val="4682B4"/>
          <w:sz w:val="26"/>
        </w:rPr>
        <w:t>3.2 Per-Diem Meal Limits and Mileage Reimbursement</w:t>
      </w:r>
    </w:p>
    <w:p>
      <w:pPr>
        <w:spacing w:after="120" w:line="276" w:lineRule="auto"/>
      </w:pPr>
      <w:r>
        <w:rPr>
          <w:rFonts w:ascii="Calibri" w:hAnsi="Calibri"/>
          <w:color w:val="333333"/>
          <w:sz w:val="22"/>
        </w:rPr>
        <w:t>Standard personal meals consumed during authorized business travel are governed by a daily per-diem limit of $75.00 per day (allocated as $15.00 for Breakfast, $20.00 for Lunch, and $40.00 for Dinner). Personal vehicle usage for business travel is reimbursed at the standardized rate of $0.67 per mile, which covers fuel, maintenance, and vehicle depreciation. Commuting miles between an employee’s primary residence and regular assigned workplace are strictly excluded from mileage claims.</w:t>
      </w:r>
    </w:p>
    <w:p>
      <w:pPr>
        <w:pStyle w:val="Heading1"/>
        <w:keepNext/>
        <w:spacing w:before="280" w:after="80"/>
      </w:pPr>
      <w:r>
        <w:rPr>
          <w:rFonts w:ascii="Calibri" w:hAnsi="Calibri"/>
          <w:b/>
          <w:color w:val="003366"/>
          <w:sz w:val="32"/>
        </w:rPr>
        <w:t>4. Approval Thresholds and Authorization</w:t>
      </w:r>
    </w:p>
    <w:p>
      <w:pPr>
        <w:spacing w:after="120" w:line="276" w:lineRule="auto"/>
      </w:pPr>
      <w:r>
        <w:rPr>
          <w:rFonts w:ascii="Calibri" w:hAnsi="Calibri"/>
          <w:color w:val="333333"/>
          <w:sz w:val="22"/>
        </w:rPr>
        <w:t>Expense reports are processed based on established financial delegation thresholds to ensure appropriate fiscal accountability. Approvers must verify that all submitted expenses fall within policy guidelines, possess adequate itemized documentation, and are assigned to the correct cost center prior to approval.</w:t>
      </w:r>
    </w:p>
    <w:tbl>
      <w:tblPr>
        <w:tblW w:type="auto" w:w="0"/>
        <w:jc w:val="center"/>
        <w:tblLook w:firstColumn="1" w:firstRow="1" w:lastColumn="0" w:lastRow="0" w:noHBand="0" w:noVBand="1" w:val="04A0"/>
      </w:tblPr>
      <w:tblGrid>
        <w:gridCol w:w="2340"/>
        <w:gridCol w:w="2340"/>
        <w:gridCol w:w="2340"/>
        <w:gridCol w:w="2340"/>
      </w:tblGrid>
      <w:tr>
        <w:tc>
          <w:tcPr>
            <w:tcW w:type="dxa" w:w="2592"/>
            <w:shd w:fill="003366"/>
            <w:vAlign w:val="center"/>
          </w:tcPr>
          <w:p>
            <w:pPr>
              <w:jc w:val="left"/>
            </w:pPr>
            <w:r>
              <w:rPr>
                <w:rFonts w:ascii="Calibri" w:hAnsi="Calibri"/>
                <w:b/>
                <w:color w:val="FFFFFF"/>
                <w:sz w:val="20"/>
              </w:rPr>
              <w:t>Expense Category</w:t>
            </w:r>
          </w:p>
        </w:tc>
        <w:tc>
          <w:tcPr>
            <w:tcW w:type="dxa" w:w="2160"/>
            <w:shd w:fill="003366"/>
            <w:vAlign w:val="center"/>
          </w:tcPr>
          <w:p>
            <w:pPr>
              <w:jc w:val="center"/>
            </w:pPr>
            <w:r>
              <w:rPr>
                <w:rFonts w:ascii="Calibri" w:hAnsi="Calibri"/>
                <w:b/>
                <w:color w:val="FFFFFF"/>
                <w:sz w:val="20"/>
              </w:rPr>
              <w:t>Threshold Amount</w:t>
            </w:r>
          </w:p>
        </w:tc>
        <w:tc>
          <w:tcPr>
            <w:tcW w:type="dxa" w:w="2592"/>
            <w:shd w:fill="003366"/>
            <w:vAlign w:val="center"/>
          </w:tcPr>
          <w:p>
            <w:pPr>
              <w:jc w:val="left"/>
            </w:pPr>
            <w:r>
              <w:rPr>
                <w:rFonts w:ascii="Calibri" w:hAnsi="Calibri"/>
                <w:b/>
                <w:color w:val="FFFFFF"/>
                <w:sz w:val="20"/>
              </w:rPr>
              <w:t>Required Approval Authority</w:t>
            </w:r>
          </w:p>
        </w:tc>
        <w:tc>
          <w:tcPr>
            <w:tcW w:type="dxa" w:w="2016"/>
            <w:shd w:fill="003366"/>
            <w:vAlign w:val="center"/>
          </w:tcPr>
          <w:p>
            <w:pPr>
              <w:jc w:val="center"/>
            </w:pPr>
            <w:r>
              <w:rPr>
                <w:rFonts w:ascii="Calibri" w:hAnsi="Calibri"/>
                <w:b/>
                <w:color w:val="FFFFFF"/>
                <w:sz w:val="20"/>
              </w:rPr>
              <w:t>Processing Window</w:t>
            </w:r>
          </w:p>
        </w:tc>
      </w:tr>
      <w:tr>
        <w:tc>
          <w:tcPr>
            <w:tcW w:type="dxa" w:w="2592"/>
            <w:shd w:fill="F2F5F8"/>
            <w:vAlign w:val="center"/>
          </w:tcPr>
          <w:p>
            <w:pPr>
              <w:jc w:val="left"/>
            </w:pPr>
            <w:r>
              <w:rPr>
                <w:rFonts w:ascii="Calibri" w:hAnsi="Calibri"/>
                <w:color w:val="333333"/>
                <w:sz w:val="20"/>
              </w:rPr>
              <w:t>Standard Operational &amp; Travel</w:t>
            </w:r>
          </w:p>
        </w:tc>
        <w:tc>
          <w:tcPr>
            <w:tcW w:type="dxa" w:w="2160"/>
            <w:shd w:fill="F2F5F8"/>
            <w:vAlign w:val="center"/>
          </w:tcPr>
          <w:p>
            <w:pPr>
              <w:jc w:val="center"/>
            </w:pPr>
            <w:r>
              <w:rPr>
                <w:rFonts w:ascii="Calibri" w:hAnsi="Calibri"/>
                <w:color w:val="333333"/>
                <w:sz w:val="20"/>
              </w:rPr>
              <w:t>Up to $500.00</w:t>
            </w:r>
          </w:p>
        </w:tc>
        <w:tc>
          <w:tcPr>
            <w:tcW w:type="dxa" w:w="2592"/>
            <w:shd w:fill="F2F5F8"/>
            <w:vAlign w:val="center"/>
          </w:tcPr>
          <w:p>
            <w:pPr>
              <w:jc w:val="left"/>
            </w:pPr>
            <w:r>
              <w:rPr>
                <w:rFonts w:ascii="Calibri" w:hAnsi="Calibri"/>
                <w:color w:val="333333"/>
                <w:sz w:val="20"/>
              </w:rPr>
              <w:t>Direct Manager</w:t>
            </w:r>
          </w:p>
        </w:tc>
        <w:tc>
          <w:tcPr>
            <w:tcW w:type="dxa" w:w="2016"/>
            <w:shd w:fill="F2F5F8"/>
            <w:vAlign w:val="center"/>
          </w:tcPr>
          <w:p>
            <w:pPr>
              <w:jc w:val="center"/>
            </w:pPr>
            <w:r>
              <w:rPr>
                <w:rFonts w:ascii="Calibri" w:hAnsi="Calibri"/>
                <w:color w:val="333333"/>
                <w:sz w:val="20"/>
              </w:rPr>
              <w:t>3 Business Days</w:t>
            </w:r>
          </w:p>
        </w:tc>
      </w:tr>
      <w:tr>
        <w:tc>
          <w:tcPr>
            <w:tcW w:type="dxa" w:w="2592"/>
            <w:shd w:fill="FFFFFF"/>
            <w:vAlign w:val="center"/>
          </w:tcPr>
          <w:p>
            <w:pPr>
              <w:jc w:val="left"/>
            </w:pPr>
            <w:r>
              <w:rPr>
                <w:rFonts w:ascii="Calibri" w:hAnsi="Calibri"/>
                <w:color w:val="333333"/>
                <w:sz w:val="20"/>
              </w:rPr>
              <w:t>Extended Travel &amp; Equipment</w:t>
            </w:r>
          </w:p>
        </w:tc>
        <w:tc>
          <w:tcPr>
            <w:tcW w:type="dxa" w:w="2160"/>
            <w:shd w:fill="FFFFFF"/>
            <w:vAlign w:val="center"/>
          </w:tcPr>
          <w:p>
            <w:pPr>
              <w:jc w:val="center"/>
            </w:pPr>
            <w:r>
              <w:rPr>
                <w:rFonts w:ascii="Calibri" w:hAnsi="Calibri"/>
                <w:color w:val="333333"/>
                <w:sz w:val="20"/>
              </w:rPr>
              <w:t>$500.01 – $2,500.00</w:t>
            </w:r>
          </w:p>
        </w:tc>
        <w:tc>
          <w:tcPr>
            <w:tcW w:type="dxa" w:w="2592"/>
            <w:shd w:fill="FFFFFF"/>
            <w:vAlign w:val="center"/>
          </w:tcPr>
          <w:p>
            <w:pPr>
              <w:jc w:val="left"/>
            </w:pPr>
            <w:r>
              <w:rPr>
                <w:rFonts w:ascii="Calibri" w:hAnsi="Calibri"/>
                <w:color w:val="333333"/>
                <w:sz w:val="20"/>
              </w:rPr>
              <w:t>Department Director</w:t>
            </w:r>
          </w:p>
        </w:tc>
        <w:tc>
          <w:tcPr>
            <w:tcW w:type="dxa" w:w="2016"/>
            <w:shd w:fill="FFFFFF"/>
            <w:vAlign w:val="center"/>
          </w:tcPr>
          <w:p>
            <w:pPr>
              <w:jc w:val="center"/>
            </w:pPr>
            <w:r>
              <w:rPr>
                <w:rFonts w:ascii="Calibri" w:hAnsi="Calibri"/>
                <w:color w:val="333333"/>
                <w:sz w:val="20"/>
              </w:rPr>
              <w:t>5 Business Days</w:t>
            </w:r>
          </w:p>
        </w:tc>
      </w:tr>
      <w:tr>
        <w:tc>
          <w:tcPr>
            <w:tcW w:type="dxa" w:w="2592"/>
            <w:shd w:fill="F2F5F8"/>
            <w:vAlign w:val="center"/>
          </w:tcPr>
          <w:p>
            <w:pPr>
              <w:jc w:val="left"/>
            </w:pPr>
            <w:r>
              <w:rPr>
                <w:rFonts w:ascii="Calibri" w:hAnsi="Calibri"/>
                <w:color w:val="333333"/>
                <w:sz w:val="20"/>
              </w:rPr>
              <w:t>Major Executive Expenses</w:t>
            </w:r>
          </w:p>
        </w:tc>
        <w:tc>
          <w:tcPr>
            <w:tcW w:type="dxa" w:w="2160"/>
            <w:shd w:fill="F2F5F8"/>
            <w:vAlign w:val="center"/>
          </w:tcPr>
          <w:p>
            <w:pPr>
              <w:jc w:val="center"/>
            </w:pPr>
            <w:r>
              <w:rPr>
                <w:rFonts w:ascii="Calibri" w:hAnsi="Calibri"/>
                <w:color w:val="333333"/>
                <w:sz w:val="20"/>
              </w:rPr>
              <w:t>$2,501.00 – $10,000.00</w:t>
            </w:r>
          </w:p>
        </w:tc>
        <w:tc>
          <w:tcPr>
            <w:tcW w:type="dxa" w:w="2592"/>
            <w:shd w:fill="F2F5F8"/>
            <w:vAlign w:val="center"/>
          </w:tcPr>
          <w:p>
            <w:pPr>
              <w:jc w:val="left"/>
            </w:pPr>
            <w:r>
              <w:rPr>
                <w:rFonts w:ascii="Calibri" w:hAnsi="Calibri"/>
                <w:color w:val="333333"/>
                <w:sz w:val="20"/>
              </w:rPr>
              <w:t>Vice President / Controller</w:t>
            </w:r>
          </w:p>
        </w:tc>
        <w:tc>
          <w:tcPr>
            <w:tcW w:type="dxa" w:w="2016"/>
            <w:shd w:fill="F2F5F8"/>
            <w:vAlign w:val="center"/>
          </w:tcPr>
          <w:p>
            <w:pPr>
              <w:jc w:val="center"/>
            </w:pPr>
            <w:r>
              <w:rPr>
                <w:rFonts w:ascii="Calibri" w:hAnsi="Calibri"/>
                <w:color w:val="333333"/>
                <w:sz w:val="20"/>
              </w:rPr>
              <w:t>7 Business Days</w:t>
            </w:r>
          </w:p>
        </w:tc>
      </w:tr>
      <w:tr>
        <w:tc>
          <w:tcPr>
            <w:tcW w:type="dxa" w:w="2592"/>
            <w:shd w:fill="FFFFFF"/>
            <w:vAlign w:val="center"/>
          </w:tcPr>
          <w:p>
            <w:pPr>
              <w:jc w:val="left"/>
            </w:pPr>
            <w:r>
              <w:rPr>
                <w:rFonts w:ascii="Calibri" w:hAnsi="Calibri"/>
                <w:color w:val="333333"/>
                <w:sz w:val="20"/>
              </w:rPr>
              <w:t>Capital &amp; Exceptional Items</w:t>
            </w:r>
          </w:p>
        </w:tc>
        <w:tc>
          <w:tcPr>
            <w:tcW w:type="dxa" w:w="2160"/>
            <w:shd w:fill="FFFFFF"/>
            <w:vAlign w:val="center"/>
          </w:tcPr>
          <w:p>
            <w:pPr>
              <w:jc w:val="center"/>
            </w:pPr>
            <w:r>
              <w:rPr>
                <w:rFonts w:ascii="Calibri" w:hAnsi="Calibri"/>
                <w:color w:val="333333"/>
                <w:sz w:val="20"/>
              </w:rPr>
              <w:t>Exceeding $10,000.00</w:t>
            </w:r>
          </w:p>
        </w:tc>
        <w:tc>
          <w:tcPr>
            <w:tcW w:type="dxa" w:w="2592"/>
            <w:shd w:fill="FFFFFF"/>
            <w:vAlign w:val="center"/>
          </w:tcPr>
          <w:p>
            <w:pPr>
              <w:jc w:val="left"/>
            </w:pPr>
            <w:r>
              <w:rPr>
                <w:rFonts w:ascii="Calibri" w:hAnsi="Calibri"/>
                <w:color w:val="333333"/>
                <w:sz w:val="20"/>
              </w:rPr>
              <w:t>Chief Financial Officer (CFO)</w:t>
            </w:r>
          </w:p>
        </w:tc>
        <w:tc>
          <w:tcPr>
            <w:tcW w:type="dxa" w:w="2016"/>
            <w:shd w:fill="FFFFFF"/>
            <w:vAlign w:val="center"/>
          </w:tcPr>
          <w:p>
            <w:pPr>
              <w:jc w:val="center"/>
            </w:pPr>
            <w:r>
              <w:rPr>
                <w:rFonts w:ascii="Calibri" w:hAnsi="Calibri"/>
                <w:color w:val="333333"/>
                <w:sz w:val="20"/>
              </w:rPr>
              <w:t>10 Business Days</w:t>
            </w:r>
          </w:p>
        </w:tc>
      </w:tr>
    </w:tbl>
    <w:p>
      <w:pPr>
        <w:spacing w:after="120"/>
      </w:pPr>
    </w:p>
    <w:p>
      <w:pPr>
        <w:pStyle w:val="Heading1"/>
        <w:keepNext/>
        <w:spacing w:before="280" w:after="80"/>
      </w:pPr>
      <w:r>
        <w:rPr>
          <w:rFonts w:ascii="Calibri" w:hAnsi="Calibri"/>
          <w:b/>
          <w:color w:val="003366"/>
          <w:sz w:val="32"/>
        </w:rPr>
        <w:t>5. Payment Processing and Audit Procedures</w:t>
      </w:r>
    </w:p>
    <w:p>
      <w:pPr>
        <w:spacing w:after="120" w:line="276" w:lineRule="auto"/>
      </w:pPr>
      <w:r>
        <w:rPr>
          <w:rFonts w:ascii="Calibri" w:hAnsi="Calibri"/>
          <w:color w:val="333333"/>
          <w:sz w:val="22"/>
        </w:rPr>
        <w:t>Approved expense submissions are processed by Accounts Payable on a bi-weekly schedule, with funds disbursed via direct deposit to the employee's designated primary payroll account. Employees will receive an automated email notification confirming transaction settlement and payment reference numbers upon processing.</w:t>
      </w:r>
    </w:p>
    <w:p>
      <w:pPr>
        <w:pStyle w:val="Heading2"/>
        <w:keepNext/>
        <w:spacing w:before="200" w:after="60"/>
      </w:pPr>
      <w:r>
        <w:rPr>
          <w:rFonts w:ascii="Calibri" w:hAnsi="Calibri"/>
          <w:b/>
          <w:color w:val="4682B4"/>
          <w:sz w:val="26"/>
        </w:rPr>
        <w:t>5.1 Travel Advance Policy</w:t>
      </w:r>
    </w:p>
    <w:p>
      <w:pPr>
        <w:spacing w:after="120" w:line="276" w:lineRule="auto"/>
      </w:pPr>
      <w:r>
        <w:rPr>
          <w:rFonts w:ascii="Calibri" w:hAnsi="Calibri"/>
          <w:color w:val="333333"/>
          <w:sz w:val="22"/>
        </w:rPr>
        <w:t>Cash advances for travel are restricted to field personnel operating in remote regions where electronic card payments are unavailable. Travel advances must be requested at least 10 business days prior to departure and cannot exceed $1,000.00 per trip. Reconciliation of travel advances and submission of remaining funds must occur within 14 calendar days post-travel completion; unverified balances will be deducted from the employee's next regular payroll check.</w:t>
      </w:r>
    </w:p>
    <w:p>
      <w:pPr>
        <w:pStyle w:val="Heading2"/>
        <w:keepNext/>
        <w:spacing w:before="200" w:after="60"/>
      </w:pPr>
      <w:r>
        <w:rPr>
          <w:rFonts w:ascii="Calibri" w:hAnsi="Calibri"/>
          <w:b/>
          <w:color w:val="4682B4"/>
          <w:sz w:val="26"/>
        </w:rPr>
        <w:t>5.2 Random Expense Audits</w:t>
      </w:r>
    </w:p>
    <w:p>
      <w:pPr>
        <w:spacing w:after="120" w:line="276" w:lineRule="auto"/>
      </w:pPr>
      <w:r>
        <w:rPr>
          <w:rFonts w:ascii="Calibri" w:hAnsi="Calibri"/>
          <w:color w:val="333333"/>
          <w:sz w:val="22"/>
        </w:rPr>
        <w:t>The Internal Audit team conducts unannounced monthly sampling of 10% of all processed expense claims across all corporate business units. Employees selected for audit must provide original receipts or supplemental business justification within 5 business days of notification. Repeated documentation deficiencies or failure to respond to audit requests will result in a temporary suspension of expense reimbursement privileges for a period of 90 calendar days.</w:t>
      </w:r>
    </w:p>
    <w:p>
      <w:pPr>
        <w:pStyle w:val="Heading1"/>
        <w:keepNext/>
        <w:spacing w:before="280" w:after="80"/>
      </w:pPr>
      <w:r>
        <w:rPr>
          <w:rFonts w:ascii="Calibri" w:hAnsi="Calibri"/>
          <w:b/>
          <w:color w:val="003366"/>
          <w:sz w:val="32"/>
        </w:rPr>
        <w:t>6. Compliance and Violation Penalties</w:t>
      </w:r>
    </w:p>
    <w:p>
      <w:pPr>
        <w:spacing w:after="120" w:line="276" w:lineRule="auto"/>
      </w:pPr>
      <w:r>
        <w:rPr>
          <w:rFonts w:ascii="Calibri" w:hAnsi="Calibri"/>
          <w:color w:val="333333"/>
          <w:sz w:val="22"/>
        </w:rPr>
        <w:t>Compliance with this policy is strictly enforced across all subsidiary organizations and business lines. Fraudulent submissions—including falsification of receipts, double-dipping, or claiming personal expenses as business expenses—will result in immediate termination of employment, full financial recovery through payroll offset, and potential civil or criminal legal action.</w:t>
      </w:r>
    </w:p>
    <w:p>
      <w:pPr>
        <w:spacing w:after="120" w:line="276" w:lineRule="auto"/>
      </w:pPr>
      <w:r>
        <w:rPr>
          <w:rFonts w:ascii="Calibri" w:hAnsi="Calibri"/>
          <w:color w:val="333333"/>
          <w:sz w:val="22"/>
        </w:rPr>
        <w:t>Failure to adhere to approval workflows or repeated non-compliant submissions exceeding $1,000.00 in unauthorized expenses may result in formal disciplinary warnings, mandatory re-training on corporate financial policies, and loss of corporate credit card privileges for up to 12 months.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