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 Policy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Document Owner</w:t>
            </w:r>
          </w:p>
        </w:tc>
        <w:tc>
          <w:tcPr>
            <w:tcW w:type="dxa" w:w="4320"/>
          </w:tcPr>
          <w:p>
            <w:r>
              <w:t>Chief Information Security Officer (CISO)</w:t>
            </w:r>
          </w:p>
        </w:tc>
      </w:tr>
      <w:tr>
        <w:tc>
          <w:tcPr>
            <w:tcW w:type="dxa" w:w="4320"/>
          </w:tcPr>
          <w:p>
            <w:r>
              <w:t>Department</w:t>
            </w:r>
          </w:p>
        </w:tc>
        <w:tc>
          <w:tcPr>
            <w:tcW w:type="dxa" w:w="4320"/>
          </w:tcPr>
          <w:p>
            <w:r>
              <w:t>Information Security &amp; Risk Management</w:t>
            </w:r>
          </w:p>
        </w:tc>
      </w:tr>
      <w:tr>
        <w:tc>
          <w:tcPr>
            <w:tcW w:type="dxa" w:w="4320"/>
          </w:tcPr>
          <w:p>
            <w:r>
              <w:t>Effective Date</w:t>
            </w:r>
          </w:p>
        </w:tc>
        <w:tc>
          <w:tcPr>
            <w:tcW w:type="dxa" w:w="4320"/>
          </w:tcPr>
          <w:p>
            <w:r>
              <w:t>October 1, 2025</w:t>
            </w:r>
          </w:p>
        </w:tc>
      </w:tr>
      <w:tr>
        <w:tc>
          <w:tcPr>
            <w:tcW w:type="dxa" w:w="4320"/>
          </w:tcPr>
          <w:p>
            <w:r>
              <w:t>Lifecycle Status</w:t>
            </w:r>
          </w:p>
        </w:tc>
        <w:tc>
          <w:tcPr>
            <w:tcW w:type="dxa" w:w="4320"/>
          </w:tcPr>
          <w:p>
            <w:r>
              <w:t>Active</w:t>
            </w:r>
          </w:p>
        </w:tc>
      </w:tr>
      <w:tr>
        <w:tc>
          <w:tcPr>
            <w:tcW w:type="dxa" w:w="4320"/>
          </w:tcPr>
          <w:p>
            <w:r>
              <w:t>Review Cycle</w:t>
            </w:r>
          </w:p>
        </w:tc>
        <w:tc>
          <w:tcPr>
            <w:tcW w:type="dxa" w:w="4320"/>
          </w:tcPr>
          <w:p>
            <w:r>
              <w:t>Annual</w:t>
            </w:r>
          </w:p>
        </w:tc>
      </w:tr>
    </w:tbl>
    <w:p>
      <w:pPr>
        <w:pStyle w:val="Heading1"/>
      </w:pPr>
      <w:r>
        <w:t>1. Purpose</w:t>
      </w:r>
    </w:p>
    <w:p>
      <w:r>
        <w:t>Apex Global Solutions is committed to protecting its critical digital assets, intellectual property, and employee data from unauthorized access, loss, or disclosure. This policy establishes the administrative, technical, and physical safeguards required to maintain information confidentiality, integrity, and operational availability. Compliance with these controls ensures regulatory alignment with ISO/IEC 27001 standards and minimizes operational risk across all organizational functions.</w:t>
      </w:r>
    </w:p>
    <w:p>
      <w:pPr>
        <w:pStyle w:val="Heading1"/>
      </w:pPr>
      <w:r>
        <w:t>2. Scope</w:t>
      </w:r>
    </w:p>
    <w:p>
      <w:r>
        <w:t>This policy applies to all 850 full-time employees, contractors, temporary workers, and third-party vendors operating on behalf of Apex Global Solutions. It covers all company-owned or managed devices, including workstations, mobile devices, servers, cloud infrastructure hosted in AWS and Azure, and corporate network environments. Accessing corporate resources from personal devices (BYOD) is strictly prohibited unless authorized under the Remote Work Security Framework.</w:t>
      </w:r>
    </w:p>
    <w:p>
      <w:pPr>
        <w:pStyle w:val="Heading1"/>
      </w:pPr>
      <w:r>
        <w:t>3. Password and Access Controls</w:t>
      </w:r>
    </w:p>
    <w:p>
      <w:r>
        <w:t>All internal and external access to Apex Global Solutions infrastructure must be governed by centralized authentication mechanisms. Access rights are granted based on the Principle of Least Privilege, requiring explicit manager sign-off for any permission escalation beyond baseline roles.</w:t>
      </w:r>
    </w:p>
    <w:p>
      <w:pPr>
        <w:pStyle w:val="Heading2"/>
      </w:pPr>
      <w:r>
        <w:t>3.1 Password Construction and Lifetime</w:t>
      </w:r>
    </w:p>
    <w:p>
      <w:r>
        <w:t>User passwords must contain a minimum of 14 characters, incorporating at least one uppercase letter, one lowercase letter, one numeric digit, and one special symbol. Passwords automatically expire every 90 days, and the authentication system will enforce a history limit preventing the reuse of the last 12 previously used passwords. Accounts will be automatically locked out for a duration of 30 minutes following 5 consecutive failed login attempts within a 15-minute window.</w:t>
      </w:r>
    </w:p>
    <w:p>
      <w:pPr>
        <w:pStyle w:val="Heading2"/>
      </w:pPr>
      <w:r>
        <w:t>3.2 Multi-Factor Authentication Requirements</w:t>
      </w:r>
    </w:p>
    <w:p>
      <w:r>
        <w:t>Multi-Factor Authentication (MFA) is mandatory for all primary user accounts, administrative accounts, and external connections accessing corporate resources. Time-based One-Time Password (TOTP) hardware tokens or push notifications via the approved corporate authenticator app are the only accepted authentication factors; SMS-based authentication is explicitly prohibited due to interception risks. Accounts inactive for 15 minutes of user idle time will automatically lock and require password or MFA re-entry.</w:t>
      </w:r>
    </w:p>
    <w:p>
      <w:pPr>
        <w:pStyle w:val="Heading1"/>
      </w:pPr>
      <w:r>
        <w:t>4. Data Classification and Handling</w:t>
      </w:r>
    </w:p>
    <w:p>
      <w:r>
        <w:t>Apex Global Solutions categorizes information assets into four distinct security tiers to ensure appropriate protective measures are consistently applied. All data generated, processed, or stored within corporate systems must be tagged according to these classifications.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Classification Tier</w:t>
            </w:r>
          </w:p>
        </w:tc>
        <w:tc>
          <w:tcPr>
            <w:tcW w:type="dxa" w:w="2160"/>
          </w:tcPr>
          <w:p>
            <w:r>
              <w:rPr>
                <w:b/>
              </w:rPr>
              <w:t>Description</w:t>
            </w:r>
          </w:p>
        </w:tc>
        <w:tc>
          <w:tcPr>
            <w:tcW w:type="dxa" w:w="2160"/>
          </w:tcPr>
          <w:p>
            <w:r>
              <w:rPr>
                <w:b/>
              </w:rPr>
              <w:t>Retention Period</w:t>
            </w:r>
          </w:p>
        </w:tc>
        <w:tc>
          <w:tcPr>
            <w:tcW w:type="dxa" w:w="2160"/>
          </w:tcPr>
          <w:p>
            <w:r>
              <w:rPr>
                <w:b/>
              </w:rPr>
              <w:t>Storage &amp; Encryption Standard</w:t>
            </w:r>
          </w:p>
        </w:tc>
      </w:tr>
      <w:tr>
        <w:tc>
          <w:tcPr>
            <w:tcW w:type="dxa" w:w="2160"/>
          </w:tcPr>
          <w:p>
            <w:r>
              <w:t>Public</w:t>
            </w:r>
          </w:p>
        </w:tc>
        <w:tc>
          <w:tcPr>
            <w:tcW w:type="dxa" w:w="2160"/>
          </w:tcPr>
          <w:p>
            <w:r>
              <w:t>Information approved for public disclosure (e.g., marketing brochures, press releases).</w:t>
            </w:r>
          </w:p>
        </w:tc>
        <w:tc>
          <w:tcPr>
            <w:tcW w:type="dxa" w:w="2160"/>
          </w:tcPr>
          <w:p>
            <w:r>
              <w:t>3 Years</w:t>
            </w:r>
          </w:p>
        </w:tc>
        <w:tc>
          <w:tcPr>
            <w:tcW w:type="dxa" w:w="2160"/>
          </w:tcPr>
          <w:p>
            <w:r>
              <w:t>Standard storage; encryption optional in transit.</w:t>
            </w:r>
          </w:p>
        </w:tc>
      </w:tr>
      <w:tr>
        <w:tc>
          <w:tcPr>
            <w:tcW w:type="dxa" w:w="2160"/>
          </w:tcPr>
          <w:p>
            <w:r>
              <w:t>Internal</w:t>
            </w:r>
          </w:p>
        </w:tc>
        <w:tc>
          <w:tcPr>
            <w:tcW w:type="dxa" w:w="2160"/>
          </w:tcPr>
          <w:p>
            <w:r>
              <w:t>Day-to-day operational business data not intended for external release (e.g., internal memos).</w:t>
            </w:r>
          </w:p>
        </w:tc>
        <w:tc>
          <w:tcPr>
            <w:tcW w:type="dxa" w:w="2160"/>
          </w:tcPr>
          <w:p>
            <w:r>
              <w:t>5 Years</w:t>
            </w:r>
          </w:p>
        </w:tc>
        <w:tc>
          <w:tcPr>
            <w:tcW w:type="dxa" w:w="2160"/>
          </w:tcPr>
          <w:p>
            <w:r>
              <w:t>Encrypted in transit using TLS 1.3; standard storage access controls.</w:t>
            </w:r>
          </w:p>
        </w:tc>
      </w:tr>
      <w:tr>
        <w:tc>
          <w:tcPr>
            <w:tcW w:type="dxa" w:w="2160"/>
          </w:tcPr>
          <w:p>
            <w:r>
              <w:t>Confidential</w:t>
            </w:r>
          </w:p>
        </w:tc>
        <w:tc>
          <w:tcPr>
            <w:tcW w:type="dxa" w:w="2160"/>
          </w:tcPr>
          <w:p>
            <w:r>
              <w:t>Sensitive business data, employee PII, customer contracts, and quarterly financial reports.</w:t>
            </w:r>
          </w:p>
        </w:tc>
        <w:tc>
          <w:tcPr>
            <w:tcW w:type="dxa" w:w="2160"/>
          </w:tcPr>
          <w:p>
            <w:r>
              <w:t>7 Years</w:t>
            </w:r>
          </w:p>
        </w:tc>
        <w:tc>
          <w:tcPr>
            <w:tcW w:type="dxa" w:w="2160"/>
          </w:tcPr>
          <w:p>
            <w:r>
              <w:t>Encrypted at rest using AES-256; restricted to authorized department roles.</w:t>
            </w:r>
          </w:p>
        </w:tc>
      </w:tr>
      <w:tr>
        <w:tc>
          <w:tcPr>
            <w:tcW w:type="dxa" w:w="2160"/>
          </w:tcPr>
          <w:p>
            <w:r>
              <w:t>Restricted</w:t>
            </w:r>
          </w:p>
        </w:tc>
        <w:tc>
          <w:tcPr>
            <w:tcW w:type="dxa" w:w="2160"/>
          </w:tcPr>
          <w:p>
            <w:r>
              <w:t>High-value intellectual property, source code, M&amp;A details, and financial trade secrets.</w:t>
            </w:r>
          </w:p>
        </w:tc>
        <w:tc>
          <w:tcPr>
            <w:tcW w:type="dxa" w:w="2160"/>
          </w:tcPr>
          <w:p>
            <w:r>
              <w:t>10 Years</w:t>
            </w:r>
          </w:p>
        </w:tc>
        <w:tc>
          <w:tcPr>
            <w:tcW w:type="dxa" w:w="2160"/>
          </w:tcPr>
          <w:p>
            <w:r>
              <w:t>Encrypted at rest (AES-256) and in transit (TLS 1.3); strict privilege limits with CISO approval.</w:t>
            </w:r>
          </w:p>
        </w:tc>
      </w:tr>
    </w:tbl>
    <w:p>
      <w:pPr>
        <w:pStyle w:val="Heading1"/>
      </w:pPr>
      <w:r>
        <w:t>5. Incident Reporting and Response</w:t>
      </w:r>
    </w:p>
    <w:p>
      <w:r>
        <w:t>Security incidents must be identified, contained, and analyzed rapidly to mitigate business impact and preserve forensic evidence. Employees must report any suspicious activity, lost equipment, or potential data breach immediately upon discovery.</w:t>
      </w:r>
    </w:p>
    <w:p>
      <w:pPr>
        <w:pStyle w:val="Heading2"/>
      </w:pPr>
      <w:r>
        <w:t>5.1 Reporting Timeline and Severity Levels</w:t>
      </w:r>
    </w:p>
    <w:p>
      <w:r>
        <w:t>All potential security breaches, including phishing compromises or lost corporate laptops, must be reported to the IT Helpdesk within 30 minutes of detection. Incidents categorized as Severity 1 (critical breach impacting customer data) require an immediate notification call to the Emergency Incident Response Line and must trigger containment procedures within 15 minutes of escalation. Severity 2 and 3 events must be investigated within 2 hours and 24 hours, respectively.</w:t>
      </w:r>
    </w:p>
    <w:p>
      <w:pPr>
        <w:pStyle w:val="Heading2"/>
      </w:pPr>
      <w:r>
        <w:t>5.2 Mandatory Incident Log Retention</w:t>
      </w:r>
    </w:p>
    <w:p>
      <w:r>
        <w:t>The Information Security Team is required to log all reported security events, triage notes, and post-incident review documents into the Central SIEM repository. All forensic image files, system log files, and incident records generated during an investigation must be retained for a minimum of 36 months to comply with auditing requirements and legal hold mandates.</w:t>
      </w:r>
    </w:p>
    <w:p>
      <w:pPr>
        <w:pStyle w:val="Heading1"/>
      </w:pPr>
      <w:r>
        <w:t>6. Enforcement and Compliance</w:t>
      </w:r>
    </w:p>
    <w:p>
      <w:r>
        <w:t>Compliance with this policy is mandatory across all business units and geographic locations. The Information Security Team will perform unannounced quarterly audits and automated vulnerability scans across all subnetworks to verify policy adherence. Any non-compliance identified during an audit must be remediated within 14 calendar days.</w:t>
      </w:r>
    </w:p>
    <w:p>
      <w:r>
        <w:t>Failure to comply with these security controls exposes the organization to significant operational risk, financial penalties exceeding $50,000 per violation under relevant regulations, and reputational harm. Employees who violate this policy are subject to disciplinary action, up to and including immediate termination of employment and civil or criminal legal prosecution.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