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003366"/>
          <w:sz w:val="32"/>
        </w:rPr>
        <w:t>Workplace Health and Safety Policy</w:t>
      </w:r>
    </w:p>
    <w:tbl>
      <w:tblPr>
        <w:tblW w:type="auto" w:w="0"/>
        <w:jc w:val="center"/>
        <w:tblLook w:firstColumn="1" w:firstRow="1" w:lastColumn="0" w:lastRow="0" w:noHBand="0" w:noVBand="1" w:val="04A0"/>
      </w:tblPr>
      <w:tblGrid>
        <w:gridCol w:w="4680"/>
        <w:gridCol w:w="4680"/>
      </w:tblGrid>
      <w:tr>
        <w:tc>
          <w:tcPr>
            <w:tcW w:type="dxa" w:w="3168"/>
            <w:shd w:fill="003366"/>
            <w:vAlign w:val="center"/>
          </w:tcPr>
          <w:p>
            <w:pPr>
              <w:jc w:val="left"/>
            </w:pPr>
            <w:r>
              <w:rPr>
                <w:rFonts w:ascii="Calibri" w:hAnsi="Calibri"/>
                <w:b/>
                <w:color w:val="FFFFFF"/>
                <w:sz w:val="20"/>
              </w:rPr>
              <w:t>Field</w:t>
            </w:r>
          </w:p>
        </w:tc>
        <w:tc>
          <w:tcPr>
            <w:tcW w:type="dxa" w:w="6192"/>
            <w:shd w:fill="003366"/>
            <w:vAlign w:val="center"/>
          </w:tcPr>
          <w:p>
            <w:pPr>
              <w:jc w:val="left"/>
            </w:pPr>
            <w:r>
              <w:rPr>
                <w:rFonts w:ascii="Calibri" w:hAnsi="Calibri"/>
                <w:b/>
                <w:color w:val="FFFFFF"/>
                <w:sz w:val="20"/>
              </w:rPr>
              <w:t>Details</w:t>
            </w:r>
          </w:p>
        </w:tc>
      </w:tr>
      <w:tr>
        <w:tc>
          <w:tcPr>
            <w:tcW w:type="dxa" w:w="3168"/>
            <w:shd w:fill="F2F5F8"/>
            <w:vAlign w:val="center"/>
          </w:tcPr>
          <w:p>
            <w:pPr>
              <w:jc w:val="left"/>
            </w:pPr>
            <w:r>
              <w:rPr>
                <w:rFonts w:ascii="Calibri" w:hAnsi="Calibri"/>
                <w:color w:val="333333"/>
                <w:sz w:val="20"/>
              </w:rPr>
              <w:t>Document Owner</w:t>
            </w:r>
          </w:p>
        </w:tc>
        <w:tc>
          <w:tcPr>
            <w:tcW w:type="dxa" w:w="6192"/>
            <w:shd w:fill="F2F5F8"/>
            <w:vAlign w:val="center"/>
          </w:tcPr>
          <w:p>
            <w:pPr>
              <w:jc w:val="left"/>
            </w:pPr>
            <w:r>
              <w:rPr>
                <w:rFonts w:ascii="Calibri" w:hAnsi="Calibri"/>
                <w:color w:val="333333"/>
                <w:sz w:val="20"/>
              </w:rPr>
              <w:t>Director of Facilities &amp; Safety</w:t>
            </w:r>
          </w:p>
        </w:tc>
      </w:tr>
      <w:tr>
        <w:tc>
          <w:tcPr>
            <w:tcW w:type="dxa" w:w="3168"/>
            <w:shd w:fill="FFFFFF"/>
            <w:vAlign w:val="center"/>
          </w:tcPr>
          <w:p>
            <w:pPr>
              <w:jc w:val="left"/>
            </w:pPr>
            <w:r>
              <w:rPr>
                <w:rFonts w:ascii="Calibri" w:hAnsi="Calibri"/>
                <w:color w:val="333333"/>
                <w:sz w:val="20"/>
              </w:rPr>
              <w:t>Department</w:t>
            </w:r>
          </w:p>
        </w:tc>
        <w:tc>
          <w:tcPr>
            <w:tcW w:type="dxa" w:w="6192"/>
            <w:shd w:fill="FFFFFF"/>
            <w:vAlign w:val="center"/>
          </w:tcPr>
          <w:p>
            <w:pPr>
              <w:jc w:val="left"/>
            </w:pPr>
            <w:r>
              <w:rPr>
                <w:rFonts w:ascii="Calibri" w:hAnsi="Calibri"/>
                <w:color w:val="333333"/>
                <w:sz w:val="20"/>
              </w:rPr>
              <w:t>Operations &amp; Facilities</w:t>
            </w:r>
          </w:p>
        </w:tc>
      </w:tr>
      <w:tr>
        <w:tc>
          <w:tcPr>
            <w:tcW w:type="dxa" w:w="3168"/>
            <w:shd w:fill="F2F5F8"/>
            <w:vAlign w:val="center"/>
          </w:tcPr>
          <w:p>
            <w:pPr>
              <w:jc w:val="left"/>
            </w:pPr>
            <w:r>
              <w:rPr>
                <w:rFonts w:ascii="Calibri" w:hAnsi="Calibri"/>
                <w:color w:val="333333"/>
                <w:sz w:val="20"/>
              </w:rPr>
              <w:t>Effective Date</w:t>
            </w:r>
          </w:p>
        </w:tc>
        <w:tc>
          <w:tcPr>
            <w:tcW w:type="dxa" w:w="6192"/>
            <w:shd w:fill="F2F5F8"/>
            <w:vAlign w:val="center"/>
          </w:tcPr>
          <w:p>
            <w:pPr>
              <w:jc w:val="left"/>
            </w:pPr>
            <w:r>
              <w:rPr>
                <w:rFonts w:ascii="Calibri" w:hAnsi="Calibri"/>
                <w:color w:val="333333"/>
                <w:sz w:val="20"/>
              </w:rPr>
              <w:t>April 1, 2026</w:t>
            </w:r>
          </w:p>
        </w:tc>
      </w:tr>
      <w:tr>
        <w:tc>
          <w:tcPr>
            <w:tcW w:type="dxa" w:w="3168"/>
            <w:shd w:fill="FFFFFF"/>
            <w:vAlign w:val="center"/>
          </w:tcPr>
          <w:p>
            <w:pPr>
              <w:jc w:val="left"/>
            </w:pPr>
            <w:r>
              <w:rPr>
                <w:rFonts w:ascii="Calibri" w:hAnsi="Calibri"/>
                <w:color w:val="333333"/>
                <w:sz w:val="20"/>
              </w:rPr>
              <w:t>Lifecycle Status</w:t>
            </w:r>
          </w:p>
        </w:tc>
        <w:tc>
          <w:tcPr>
            <w:tcW w:type="dxa" w:w="6192"/>
            <w:shd w:fill="FFFFFF"/>
            <w:vAlign w:val="center"/>
          </w:tcPr>
          <w:p>
            <w:pPr>
              <w:jc w:val="left"/>
            </w:pPr>
            <w:r>
              <w:rPr>
                <w:rFonts w:ascii="Calibri" w:hAnsi="Calibri"/>
                <w:color w:val="333333"/>
                <w:sz w:val="20"/>
              </w:rPr>
              <w:t>Active</w:t>
            </w:r>
          </w:p>
        </w:tc>
      </w:tr>
      <w:tr>
        <w:tc>
          <w:tcPr>
            <w:tcW w:type="dxa" w:w="3168"/>
            <w:shd w:fill="F2F5F8"/>
            <w:vAlign w:val="center"/>
          </w:tcPr>
          <w:p>
            <w:pPr>
              <w:jc w:val="left"/>
            </w:pPr>
            <w:r>
              <w:rPr>
                <w:rFonts w:ascii="Calibri" w:hAnsi="Calibri"/>
                <w:color w:val="333333"/>
                <w:sz w:val="20"/>
              </w:rPr>
              <w:t>Review Cycle</w:t>
            </w:r>
          </w:p>
        </w:tc>
        <w:tc>
          <w:tcPr>
            <w:tcW w:type="dxa" w:w="6192"/>
            <w:shd w:fill="F2F5F8"/>
            <w:vAlign w:val="center"/>
          </w:tcPr>
          <w:p>
            <w:pPr>
              <w:jc w:val="left"/>
            </w:pPr>
            <w:r>
              <w:rPr>
                <w:rFonts w:ascii="Calibri" w:hAnsi="Calibri"/>
                <w:color w:val="333333"/>
                <w:sz w:val="20"/>
              </w:rPr>
              <w:t>Annual</w:t>
            </w:r>
          </w:p>
        </w:tc>
      </w:tr>
    </w:tbl>
    <w:p>
      <w:pPr>
        <w:spacing w:after="120"/>
      </w:pPr>
    </w:p>
    <w:p>
      <w:pPr>
        <w:pStyle w:val="Heading1"/>
        <w:keepNext/>
        <w:spacing w:before="280" w:after="80"/>
      </w:pPr>
      <w:r>
        <w:rPr>
          <w:rFonts w:ascii="Calibri" w:hAnsi="Calibri"/>
          <w:b/>
          <w:color w:val="003366"/>
          <w:sz w:val="32"/>
        </w:rPr>
        <w:t>1. Purpose</w:t>
      </w:r>
    </w:p>
    <w:p>
      <w:pPr>
        <w:spacing w:after="120" w:line="276" w:lineRule="auto"/>
      </w:pPr>
      <w:r>
        <w:rPr>
          <w:rFonts w:ascii="Calibri" w:hAnsi="Calibri"/>
          <w:color w:val="333333"/>
          <w:sz w:val="22"/>
        </w:rPr>
        <w:t>Apex Global Solutions is dedicated to maintaining a safe, healthy, and secure work environment for all personnel, visitors, and contractors. This policy outlines administrative and physical safety standards designed to prevent occupational injuries, mitigate workplace hazards, and ensure full regulatory compliance with Occupational Safety and Health Administration (OSHA) regulations and international safety standards.</w:t>
      </w:r>
    </w:p>
    <w:p>
      <w:pPr>
        <w:pStyle w:val="Heading1"/>
        <w:keepNext/>
        <w:spacing w:before="280" w:after="80"/>
      </w:pPr>
      <w:r>
        <w:rPr>
          <w:rFonts w:ascii="Calibri" w:hAnsi="Calibri"/>
          <w:b/>
          <w:color w:val="003366"/>
          <w:sz w:val="32"/>
        </w:rPr>
        <w:t>2. Scope</w:t>
      </w:r>
    </w:p>
    <w:p>
      <w:pPr>
        <w:spacing w:after="120" w:line="276" w:lineRule="auto"/>
      </w:pPr>
      <w:r>
        <w:rPr>
          <w:rFonts w:ascii="Calibri" w:hAnsi="Calibri"/>
          <w:color w:val="333333"/>
          <w:sz w:val="22"/>
        </w:rPr>
        <w:t>This policy applies to all 850 full-time employees, temporary staff, facility contractors, and site visitors across all corporate headquarters, regional fulfillment centers, data operations hubs, and technical field sites managed by Apex Global Solutions. Adherence to established safety protocols is mandatory during all operational hours and facility maintenance routines.</w:t>
      </w:r>
    </w:p>
    <w:p>
      <w:pPr>
        <w:pStyle w:val="Heading1"/>
        <w:keepNext/>
        <w:spacing w:before="280" w:after="80"/>
      </w:pPr>
      <w:r>
        <w:rPr>
          <w:rFonts w:ascii="Calibri" w:hAnsi="Calibri"/>
          <w:b/>
          <w:color w:val="003366"/>
          <w:sz w:val="32"/>
        </w:rPr>
        <w:t>3. Personal Protective Equipment (PPE) Requirements</w:t>
      </w:r>
    </w:p>
    <w:p>
      <w:pPr>
        <w:spacing w:after="120" w:line="276" w:lineRule="auto"/>
      </w:pPr>
      <w:r>
        <w:rPr>
          <w:rFonts w:ascii="Calibri" w:hAnsi="Calibri"/>
          <w:color w:val="333333"/>
          <w:sz w:val="22"/>
        </w:rPr>
        <w:t>All employees operating in or visiting designated operational areas must wear role-specific Personal Protective Equipment (PPE) as mandated by facility risk assessments. All required safety equipment will be provided by the company at no cost to personnel, and employees are responsible for conducting pre-use inspections prior to beginning daily shifts.</w:t>
      </w:r>
    </w:p>
    <w:p>
      <w:pPr>
        <w:pStyle w:val="Heading2"/>
        <w:keepNext/>
        <w:spacing w:before="200" w:after="60"/>
      </w:pPr>
      <w:r>
        <w:rPr>
          <w:rFonts w:ascii="Calibri" w:hAnsi="Calibri"/>
          <w:b/>
          <w:color w:val="4682B4"/>
          <w:sz w:val="26"/>
        </w:rPr>
        <w:t>3.1 PPE Mandates by Operational Role</w:t>
      </w:r>
    </w:p>
    <w:p>
      <w:pPr>
        <w:spacing w:after="120" w:line="276" w:lineRule="auto"/>
      </w:pPr>
      <w:r>
        <w:rPr>
          <w:rFonts w:ascii="Calibri" w:hAnsi="Calibri"/>
          <w:color w:val="333333"/>
          <w:sz w:val="22"/>
        </w:rPr>
        <w:t>Fulfillment and warehouse personnel are required to wear ANSI Z87.1 approved impact-resistant safety glasses, high-visibility Class 2 reflective vests, and steel-toe safety footwear with slip-resistant soles at all times. Data center technicians and electrical maintenance staff must wear Class E dielectric hard hats, arc-rated protective clothing rated to a minimum of 8 cal/cm², and cut-resistant Level A4 work gloves when working near energized hardware exceeding 50 volts.</w:t>
      </w:r>
    </w:p>
    <w:p>
      <w:pPr>
        <w:pStyle w:val="Heading2"/>
        <w:keepNext/>
        <w:spacing w:before="200" w:after="60"/>
      </w:pPr>
      <w:r>
        <w:rPr>
          <w:rFonts w:ascii="Calibri" w:hAnsi="Calibri"/>
          <w:b/>
          <w:color w:val="4682B4"/>
          <w:sz w:val="26"/>
        </w:rPr>
        <w:t>3.2 Equipment Maintenance and Replacement Limits</w:t>
      </w:r>
    </w:p>
    <w:p>
      <w:pPr>
        <w:spacing w:after="120" w:line="276" w:lineRule="auto"/>
      </w:pPr>
      <w:r>
        <w:rPr>
          <w:rFonts w:ascii="Calibri" w:hAnsi="Calibri"/>
          <w:color w:val="333333"/>
          <w:sz w:val="22"/>
        </w:rPr>
        <w:t>Damaged, worn, or compromised safety gear must be turned in immediately to the Site Safety Coordinator for replacement. Safety helmets must be replaced every 3 years from manufacture date or immediately following a physical impact event. Respiratory protective gear filters must be replaced after 40 hours of cumulative use or immediately upon noticing increased breathing resistance.</w:t>
      </w:r>
    </w:p>
    <w:p>
      <w:pPr>
        <w:pStyle w:val="Heading1"/>
        <w:keepNext/>
        <w:spacing w:before="280" w:after="80"/>
      </w:pPr>
      <w:r>
        <w:rPr>
          <w:rFonts w:ascii="Calibri" w:hAnsi="Calibri"/>
          <w:b/>
          <w:color w:val="003366"/>
          <w:sz w:val="32"/>
        </w:rPr>
        <w:t>4. Incident Reporting and Classification Thresholds</w:t>
      </w:r>
    </w:p>
    <w:p>
      <w:pPr>
        <w:spacing w:after="120" w:line="276" w:lineRule="auto"/>
      </w:pPr>
      <w:r>
        <w:rPr>
          <w:rFonts w:ascii="Calibri" w:hAnsi="Calibri"/>
          <w:color w:val="333333"/>
          <w:sz w:val="22"/>
        </w:rPr>
        <w:t>Prompt reporting of all workplace injuries, illnesses, environmental spills, and near-miss occurrences is vital to identifying hazardous conditions and preventing recurring incidents. All safety events must be logged in the Environmental Health and Safety (EHS) portal regardless of minor severity.</w:t>
      </w:r>
    </w:p>
    <w:tbl>
      <w:tblPr>
        <w:tblW w:type="auto" w:w="0"/>
        <w:jc w:val="center"/>
        <w:tblLook w:firstColumn="1" w:firstRow="1" w:lastColumn="0" w:lastRow="0" w:noHBand="0" w:noVBand="1" w:val="04A0"/>
      </w:tblPr>
      <w:tblGrid>
        <w:gridCol w:w="2340"/>
        <w:gridCol w:w="2340"/>
        <w:gridCol w:w="2340"/>
        <w:gridCol w:w="2340"/>
      </w:tblGrid>
      <w:tr>
        <w:tc>
          <w:tcPr>
            <w:tcW w:type="dxa" w:w="2592"/>
            <w:shd w:fill="003366"/>
            <w:vAlign w:val="center"/>
          </w:tcPr>
          <w:p>
            <w:pPr>
              <w:jc w:val="left"/>
            </w:pPr>
            <w:r>
              <w:rPr>
                <w:rFonts w:ascii="Calibri" w:hAnsi="Calibri"/>
                <w:b/>
                <w:color w:val="FFFFFF"/>
                <w:sz w:val="20"/>
              </w:rPr>
              <w:t>Severity Tier</w:t>
            </w:r>
          </w:p>
        </w:tc>
        <w:tc>
          <w:tcPr>
            <w:tcW w:type="dxa" w:w="3168"/>
            <w:shd w:fill="003366"/>
            <w:vAlign w:val="center"/>
          </w:tcPr>
          <w:p>
            <w:pPr>
              <w:jc w:val="left"/>
            </w:pPr>
            <w:r>
              <w:rPr>
                <w:rFonts w:ascii="Calibri" w:hAnsi="Calibri"/>
                <w:b/>
                <w:color w:val="FFFFFF"/>
                <w:sz w:val="20"/>
              </w:rPr>
              <w:t>Incident Classification Criteria</w:t>
            </w:r>
          </w:p>
        </w:tc>
        <w:tc>
          <w:tcPr>
            <w:tcW w:type="dxa" w:w="1872"/>
            <w:shd w:fill="003366"/>
            <w:vAlign w:val="center"/>
          </w:tcPr>
          <w:p>
            <w:pPr>
              <w:jc w:val="center"/>
            </w:pPr>
            <w:r>
              <w:rPr>
                <w:rFonts w:ascii="Calibri" w:hAnsi="Calibri"/>
                <w:b/>
                <w:color w:val="FFFFFF"/>
                <w:sz w:val="20"/>
              </w:rPr>
              <w:t>Initial Notification Deadline</w:t>
            </w:r>
          </w:p>
        </w:tc>
        <w:tc>
          <w:tcPr>
            <w:tcW w:type="dxa" w:w="1728"/>
            <w:shd w:fill="003366"/>
            <w:vAlign w:val="center"/>
          </w:tcPr>
          <w:p>
            <w:pPr>
              <w:jc w:val="center"/>
            </w:pPr>
            <w:r>
              <w:rPr>
                <w:rFonts w:ascii="Calibri" w:hAnsi="Calibri"/>
                <w:b/>
                <w:color w:val="FFFFFF"/>
                <w:sz w:val="20"/>
              </w:rPr>
              <w:t>Formal EHS Investigation Target</w:t>
            </w:r>
          </w:p>
        </w:tc>
      </w:tr>
      <w:tr>
        <w:tc>
          <w:tcPr>
            <w:tcW w:type="dxa" w:w="2592"/>
            <w:shd w:fill="F2F5F8"/>
            <w:vAlign w:val="center"/>
          </w:tcPr>
          <w:p>
            <w:pPr>
              <w:jc w:val="left"/>
            </w:pPr>
            <w:r>
              <w:rPr>
                <w:rFonts w:ascii="Calibri" w:hAnsi="Calibri"/>
                <w:color w:val="333333"/>
                <w:sz w:val="20"/>
              </w:rPr>
              <w:t>Tier 1: Minor / Near-Miss</w:t>
            </w:r>
          </w:p>
        </w:tc>
        <w:tc>
          <w:tcPr>
            <w:tcW w:type="dxa" w:w="3168"/>
            <w:shd w:fill="F2F5F8"/>
            <w:vAlign w:val="center"/>
          </w:tcPr>
          <w:p>
            <w:pPr>
              <w:jc w:val="left"/>
            </w:pPr>
            <w:r>
              <w:rPr>
                <w:rFonts w:ascii="Calibri" w:hAnsi="Calibri"/>
                <w:color w:val="333333"/>
                <w:sz w:val="20"/>
              </w:rPr>
              <w:t>First-aid treatments only (bandages, ice packs) or near-miss hazard.</w:t>
            </w:r>
          </w:p>
        </w:tc>
        <w:tc>
          <w:tcPr>
            <w:tcW w:type="dxa" w:w="1872"/>
            <w:shd w:fill="F2F5F8"/>
            <w:vAlign w:val="center"/>
          </w:tcPr>
          <w:p>
            <w:pPr>
              <w:jc w:val="center"/>
            </w:pPr>
            <w:r>
              <w:rPr>
                <w:rFonts w:ascii="Calibri" w:hAnsi="Calibri"/>
                <w:color w:val="333333"/>
                <w:sz w:val="20"/>
              </w:rPr>
              <w:t>Within 24 Hours</w:t>
            </w:r>
          </w:p>
        </w:tc>
        <w:tc>
          <w:tcPr>
            <w:tcW w:type="dxa" w:w="1728"/>
            <w:shd w:fill="F2F5F8"/>
            <w:vAlign w:val="center"/>
          </w:tcPr>
          <w:p>
            <w:pPr>
              <w:jc w:val="center"/>
            </w:pPr>
            <w:r>
              <w:rPr>
                <w:rFonts w:ascii="Calibri" w:hAnsi="Calibri"/>
                <w:color w:val="333333"/>
                <w:sz w:val="20"/>
              </w:rPr>
              <w:t>Completed within 5 Business Days</w:t>
            </w:r>
          </w:p>
        </w:tc>
      </w:tr>
      <w:tr>
        <w:tc>
          <w:tcPr>
            <w:tcW w:type="dxa" w:w="2592"/>
            <w:shd w:fill="FFFFFF"/>
            <w:vAlign w:val="center"/>
          </w:tcPr>
          <w:p>
            <w:pPr>
              <w:jc w:val="left"/>
            </w:pPr>
            <w:r>
              <w:rPr>
                <w:rFonts w:ascii="Calibri" w:hAnsi="Calibri"/>
                <w:color w:val="333333"/>
                <w:sz w:val="20"/>
              </w:rPr>
              <w:t>Tier 2: Medical Treatment</w:t>
            </w:r>
          </w:p>
        </w:tc>
        <w:tc>
          <w:tcPr>
            <w:tcW w:type="dxa" w:w="3168"/>
            <w:shd w:fill="FFFFFF"/>
            <w:vAlign w:val="center"/>
          </w:tcPr>
          <w:p>
            <w:pPr>
              <w:jc w:val="left"/>
            </w:pPr>
            <w:r>
              <w:rPr>
                <w:rFonts w:ascii="Calibri" w:hAnsi="Calibri"/>
                <w:color w:val="333333"/>
                <w:sz w:val="20"/>
              </w:rPr>
              <w:t>Non-fatal injury requiring external medical evaluation or prescription.</w:t>
            </w:r>
          </w:p>
        </w:tc>
        <w:tc>
          <w:tcPr>
            <w:tcW w:type="dxa" w:w="1872"/>
            <w:shd w:fill="FFFFFF"/>
            <w:vAlign w:val="center"/>
          </w:tcPr>
          <w:p>
            <w:pPr>
              <w:jc w:val="center"/>
            </w:pPr>
            <w:r>
              <w:rPr>
                <w:rFonts w:ascii="Calibri" w:hAnsi="Calibri"/>
                <w:color w:val="333333"/>
                <w:sz w:val="20"/>
              </w:rPr>
              <w:t>Within 4 Hours</w:t>
            </w:r>
          </w:p>
        </w:tc>
        <w:tc>
          <w:tcPr>
            <w:tcW w:type="dxa" w:w="1728"/>
            <w:shd w:fill="FFFFFF"/>
            <w:vAlign w:val="center"/>
          </w:tcPr>
          <w:p>
            <w:pPr>
              <w:jc w:val="center"/>
            </w:pPr>
            <w:r>
              <w:rPr>
                <w:rFonts w:ascii="Calibri" w:hAnsi="Calibri"/>
                <w:color w:val="333333"/>
                <w:sz w:val="20"/>
              </w:rPr>
              <w:t>Completed within 3 Business Days</w:t>
            </w:r>
          </w:p>
        </w:tc>
      </w:tr>
      <w:tr>
        <w:tc>
          <w:tcPr>
            <w:tcW w:type="dxa" w:w="2592"/>
            <w:shd w:fill="F2F5F8"/>
            <w:vAlign w:val="center"/>
          </w:tcPr>
          <w:p>
            <w:pPr>
              <w:jc w:val="left"/>
            </w:pPr>
            <w:r>
              <w:rPr>
                <w:rFonts w:ascii="Calibri" w:hAnsi="Calibri"/>
                <w:color w:val="333333"/>
                <w:sz w:val="20"/>
              </w:rPr>
              <w:t>Tier 3: Lost Time / Restricted Work</w:t>
            </w:r>
          </w:p>
        </w:tc>
        <w:tc>
          <w:tcPr>
            <w:tcW w:type="dxa" w:w="3168"/>
            <w:shd w:fill="F2F5F8"/>
            <w:vAlign w:val="center"/>
          </w:tcPr>
          <w:p>
            <w:pPr>
              <w:jc w:val="left"/>
            </w:pPr>
            <w:r>
              <w:rPr>
                <w:rFonts w:ascii="Calibri" w:hAnsi="Calibri"/>
                <w:color w:val="333333"/>
                <w:sz w:val="20"/>
              </w:rPr>
              <w:t>Injury resulting in missed work days, job transfer, or restricted duty.</w:t>
            </w:r>
          </w:p>
        </w:tc>
        <w:tc>
          <w:tcPr>
            <w:tcW w:type="dxa" w:w="1872"/>
            <w:shd w:fill="F2F5F8"/>
            <w:vAlign w:val="center"/>
          </w:tcPr>
          <w:p>
            <w:pPr>
              <w:jc w:val="center"/>
            </w:pPr>
            <w:r>
              <w:rPr>
                <w:rFonts w:ascii="Calibri" w:hAnsi="Calibri"/>
                <w:color w:val="333333"/>
                <w:sz w:val="20"/>
              </w:rPr>
              <w:t>Within 1 Hour</w:t>
            </w:r>
          </w:p>
        </w:tc>
        <w:tc>
          <w:tcPr>
            <w:tcW w:type="dxa" w:w="1728"/>
            <w:shd w:fill="F2F5F8"/>
            <w:vAlign w:val="center"/>
          </w:tcPr>
          <w:p>
            <w:pPr>
              <w:jc w:val="center"/>
            </w:pPr>
            <w:r>
              <w:rPr>
                <w:rFonts w:ascii="Calibri" w:hAnsi="Calibri"/>
                <w:color w:val="333333"/>
                <w:sz w:val="20"/>
              </w:rPr>
              <w:t>Completed within 24 Hours</w:t>
            </w:r>
          </w:p>
        </w:tc>
      </w:tr>
      <w:tr>
        <w:tc>
          <w:tcPr>
            <w:tcW w:type="dxa" w:w="2592"/>
            <w:shd w:fill="FFFFFF"/>
            <w:vAlign w:val="center"/>
          </w:tcPr>
          <w:p>
            <w:pPr>
              <w:jc w:val="left"/>
            </w:pPr>
            <w:r>
              <w:rPr>
                <w:rFonts w:ascii="Calibri" w:hAnsi="Calibri"/>
                <w:color w:val="333333"/>
                <w:sz w:val="20"/>
              </w:rPr>
              <w:t>Tier 4: Critical / Fatal</w:t>
            </w:r>
          </w:p>
        </w:tc>
        <w:tc>
          <w:tcPr>
            <w:tcW w:type="dxa" w:w="3168"/>
            <w:shd w:fill="FFFFFF"/>
            <w:vAlign w:val="center"/>
          </w:tcPr>
          <w:p>
            <w:pPr>
              <w:jc w:val="left"/>
            </w:pPr>
            <w:r>
              <w:rPr>
                <w:rFonts w:ascii="Calibri" w:hAnsi="Calibri"/>
                <w:color w:val="333333"/>
                <w:sz w:val="20"/>
              </w:rPr>
              <w:t>Inpatient hospitalization, amputation, loss of an eye, or fatality.</w:t>
            </w:r>
          </w:p>
        </w:tc>
        <w:tc>
          <w:tcPr>
            <w:tcW w:type="dxa" w:w="1872"/>
            <w:shd w:fill="FFFFFF"/>
            <w:vAlign w:val="center"/>
          </w:tcPr>
          <w:p>
            <w:pPr>
              <w:jc w:val="center"/>
            </w:pPr>
            <w:r>
              <w:rPr>
                <w:rFonts w:ascii="Calibri" w:hAnsi="Calibri"/>
                <w:color w:val="333333"/>
                <w:sz w:val="20"/>
              </w:rPr>
              <w:t>Immediate (within 15 Minutes)</w:t>
            </w:r>
          </w:p>
        </w:tc>
        <w:tc>
          <w:tcPr>
            <w:tcW w:type="dxa" w:w="1728"/>
            <w:shd w:fill="FFFFFF"/>
            <w:vAlign w:val="center"/>
          </w:tcPr>
          <w:p>
            <w:pPr>
              <w:jc w:val="center"/>
            </w:pPr>
            <w:r>
              <w:rPr>
                <w:rFonts w:ascii="Calibri" w:hAnsi="Calibri"/>
                <w:color w:val="333333"/>
                <w:sz w:val="20"/>
              </w:rPr>
              <w:t>Initiated within 2 Hours / Federal OSHA in 8 Hours</w:t>
            </w:r>
          </w:p>
        </w:tc>
      </w:tr>
    </w:tbl>
    <w:p>
      <w:pPr>
        <w:spacing w:after="120"/>
      </w:pPr>
    </w:p>
    <w:p>
      <w:pPr>
        <w:pStyle w:val="Heading1"/>
        <w:keepNext/>
        <w:spacing w:before="280" w:after="80"/>
      </w:pPr>
      <w:r>
        <w:rPr>
          <w:rFonts w:ascii="Calibri" w:hAnsi="Calibri"/>
          <w:b/>
          <w:color w:val="003366"/>
          <w:sz w:val="32"/>
        </w:rPr>
        <w:t>5. Emergency Evacuation and Response Procedures</w:t>
      </w:r>
    </w:p>
    <w:p>
      <w:pPr>
        <w:spacing w:after="120" w:line="276" w:lineRule="auto"/>
      </w:pPr>
      <w:r>
        <w:rPr>
          <w:rFonts w:ascii="Calibri" w:hAnsi="Calibri"/>
          <w:color w:val="333333"/>
          <w:sz w:val="22"/>
        </w:rPr>
        <w:t>In the event of a fire, hazardous spill, structural emergency, or severe weather threat, all occupants must evacuate the facility immediately upon activation of the alarm system or verbal directive from designated Safety Captains.</w:t>
      </w:r>
    </w:p>
    <w:p>
      <w:pPr>
        <w:pStyle w:val="Heading2"/>
        <w:keepNext/>
        <w:spacing w:before="200" w:after="60"/>
      </w:pPr>
      <w:r>
        <w:rPr>
          <w:rFonts w:ascii="Calibri" w:hAnsi="Calibri"/>
          <w:b/>
          <w:color w:val="4682B4"/>
          <w:sz w:val="26"/>
        </w:rPr>
        <w:t>5.1 Assembly Protocols and Headcounts</w:t>
      </w:r>
    </w:p>
    <w:p>
      <w:pPr>
        <w:spacing w:after="120" w:line="276" w:lineRule="auto"/>
      </w:pPr>
      <w:r>
        <w:rPr>
          <w:rFonts w:ascii="Calibri" w:hAnsi="Calibri"/>
          <w:color w:val="333333"/>
          <w:sz w:val="22"/>
        </w:rPr>
        <w:t>Evacuating personnel must proceed calmly via designated emergency egress routes to assigned Primary Assembly Areas located at least 150 feet away from the structure. Safety Captains will conduct mandatory headcount reconciliations using digital badge logs within 10 minutes of alarm sounding, immediately reporting missing individuals to the Emergency Response Coordinator.</w:t>
      </w:r>
    </w:p>
    <w:p>
      <w:pPr>
        <w:pStyle w:val="Heading2"/>
        <w:keepNext/>
        <w:spacing w:before="200" w:after="60"/>
      </w:pPr>
      <w:r>
        <w:rPr>
          <w:rFonts w:ascii="Calibri" w:hAnsi="Calibri"/>
          <w:b/>
          <w:color w:val="4682B4"/>
          <w:sz w:val="26"/>
        </w:rPr>
        <w:t>5.2 Drill Frequencies and Inspection Testing</w:t>
      </w:r>
    </w:p>
    <w:p>
      <w:pPr>
        <w:spacing w:after="120" w:line="276" w:lineRule="auto"/>
      </w:pPr>
      <w:r>
        <w:rPr>
          <w:rFonts w:ascii="Calibri" w:hAnsi="Calibri"/>
          <w:color w:val="333333"/>
          <w:sz w:val="22"/>
        </w:rPr>
        <w:t>All corporate facilities will conduct mandatory building evacuation drills every 6 months. Fire suppression systems, emergency lighting arrays, and automated external defibrillators (AEDs) will undergo certified technical inspections every 90 calendar days to ensure full operational readiness.</w:t>
      </w:r>
    </w:p>
    <w:p>
      <w:pPr>
        <w:pStyle w:val="Heading1"/>
        <w:keepNext/>
        <w:spacing w:before="280" w:after="80"/>
      </w:pPr>
      <w:r>
        <w:rPr>
          <w:rFonts w:ascii="Calibri" w:hAnsi="Calibri"/>
          <w:b/>
          <w:color w:val="003366"/>
          <w:sz w:val="32"/>
        </w:rPr>
        <w:t>6. Compliance and Safety Violations</w:t>
      </w:r>
    </w:p>
    <w:p>
      <w:pPr>
        <w:spacing w:after="120" w:line="276" w:lineRule="auto"/>
      </w:pPr>
      <w:r>
        <w:rPr>
          <w:rFonts w:ascii="Calibri" w:hAnsi="Calibri"/>
          <w:color w:val="333333"/>
          <w:sz w:val="22"/>
        </w:rPr>
        <w:t>Adherence to health and safety standards is a direct condition of employment. Supervisors must conduct weekly safety walkthroughs and log corrective action tickets for identified hazards. Non-compliance identified during safety audits must be corrected within 48 hours.</w:t>
      </w:r>
    </w:p>
    <w:p>
      <w:pPr>
        <w:spacing w:after="120" w:line="276" w:lineRule="auto"/>
      </w:pPr>
      <w:r>
        <w:rPr>
          <w:rFonts w:ascii="Calibri" w:hAnsi="Calibri"/>
          <w:color w:val="333333"/>
          <w:sz w:val="22"/>
        </w:rPr>
        <w:t>Failure to wear required PPE, tampering with safety guards, or failing to report a Tier 2 or higher safety incident within designated timeframes will result in formal disciplinary action. Serious safety violations expose the company to regulatory fines exceeding $15,000 per violation and will lead to immediate suspension or termination of employment.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