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Retention and Privacy Policy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2F2F2" w:val="clear"/>
          </w:tcPr>
          <w:p>
            <w:r>
              <w:rPr>
                <w:b/>
                <w:bCs/>
              </w:rPr>
              <w:t xml:space="preserve">Document Owner</w:t>
            </w:r>
          </w:p>
        </w:tc>
        <w:tc>
          <w:tcPr>
            <w:tcW w:type="dxa" w:w="6240"/>
          </w:tcPr>
          <w:p>
            <w:r>
              <w:t xml:space="preserve">Legal &amp; Compliance</w:t>
            </w:r>
          </w:p>
        </w:tc>
      </w:tr>
      <w:tr>
        <w:tc>
          <w:tcPr>
            <w:tcW w:type="dxa" w:w="3120"/>
            <w:shd w:fill="F2F2F2" w:val="clear"/>
          </w:tcPr>
          <w:p>
            <w:r>
              <w:rPr>
                <w:b/>
                <w:bCs/>
              </w:rPr>
              <w:t xml:space="preserve">Department</w:t>
            </w:r>
          </w:p>
        </w:tc>
        <w:tc>
          <w:tcPr>
            <w:tcW w:type="dxa" w:w="6240"/>
          </w:tcPr>
          <w:p>
            <w:r>
              <w:t xml:space="preserve">Legal &amp; Compliance</w:t>
            </w:r>
          </w:p>
        </w:tc>
      </w:tr>
      <w:tr>
        <w:tc>
          <w:tcPr>
            <w:tcW w:type="dxa" w:w="3120"/>
            <w:shd w:fill="F2F2F2" w:val="clear"/>
          </w:tcPr>
          <w:p>
            <w:r>
              <w:rPr>
                <w:b/>
                <w:bCs/>
              </w:rPr>
              <w:t xml:space="preserve">Effective Date</w:t>
            </w:r>
          </w:p>
        </w:tc>
        <w:tc>
          <w:tcPr>
            <w:tcW w:type="dxa" w:w="6240"/>
          </w:tcPr>
          <w:p>
            <w:r>
              <w:t xml:space="preserve">March 1, 2025</w:t>
            </w:r>
          </w:p>
        </w:tc>
      </w:tr>
      <w:tr>
        <w:tc>
          <w:tcPr>
            <w:tcW w:type="dxa" w:w="3120"/>
            <w:shd w:fill="F2F2F2" w:val="clear"/>
          </w:tcPr>
          <w:p>
            <w:r>
              <w:rPr>
                <w:b/>
                <w:bCs/>
              </w:rPr>
              <w:t xml:space="preserve">Lifecycle Status</w:t>
            </w:r>
          </w:p>
        </w:tc>
        <w:tc>
          <w:tcPr>
            <w:tcW w:type="dxa" w:w="6240"/>
          </w:tcPr>
          <w:p>
            <w:r>
              <w:t xml:space="preserve">Active</w:t>
            </w:r>
          </w:p>
        </w:tc>
      </w:tr>
      <w:tr>
        <w:tc>
          <w:tcPr>
            <w:tcW w:type="dxa" w:w="3120"/>
            <w:shd w:fill="F2F2F2" w:val="clear"/>
          </w:tcPr>
          <w:p>
            <w:r>
              <w:rPr>
                <w:b/>
                <w:bCs/>
              </w:rPr>
              <w:t xml:space="preserve">Review Cycle</w:t>
            </w:r>
          </w:p>
        </w:tc>
        <w:tc>
          <w:tcPr>
            <w:tcW w:type="dxa" w:w="6240"/>
          </w:tcPr>
          <w:p>
            <w:r>
              <w:t xml:space="preserve">Annual</w:t>
            </w:r>
          </w:p>
        </w:tc>
      </w:tr>
    </w:tbl>
    <w:p/>
    <w:p>
      <w:pPr>
        <w:pStyle w:val="Heading1"/>
      </w:pPr>
      <w:r>
        <w:t xml:space="preserve">1. Purpose</w:t>
      </w:r>
    </w:p>
    <w:p>
      <w:r>
        <w:t xml:space="preserve">This policy establishes the requirements for how the organization collects, retains, secures, and disposes of data containing personal or sensitive information, in compliance with applicable data protection regulations.</w:t>
      </w:r>
    </w:p>
    <w:p>
      <w:pPr>
        <w:pStyle w:val="Heading1"/>
      </w:pPr>
      <w:r>
        <w:t xml:space="preserve">2. Scope</w:t>
      </w:r>
    </w:p>
    <w:p>
      <w:r>
        <w:t xml:space="preserve">This policy applies to all employees, contractors, and third-party vendors who create, receive, store, or transmit data on behalf of the organization, across all business units and geographic locations.</w:t>
      </w:r>
    </w:p>
    <w:p>
      <w:pPr>
        <w:pStyle w:val="Heading1"/>
      </w:pPr>
      <w:r>
        <w:t xml:space="preserve">3. Definitions</w:t>
      </w:r>
    </w:p>
    <w:p>
      <w:pPr>
        <w:pStyle w:val="Heading2"/>
      </w:pPr>
      <w:r>
        <w:t xml:space="preserve">3.1 Personal Data</w:t>
      </w:r>
    </w:p>
    <w:p>
      <w:r>
        <w:t xml:space="preserve">Any information relating to an identified or identifiable natural person, including but not limited to names, identification numbers, location data, and online identifiers.</w:t>
      </w:r>
    </w:p>
    <w:p>
      <w:pPr>
        <w:pStyle w:val="Heading2"/>
      </w:pPr>
      <w:r>
        <w:t xml:space="preserve">3.2 Retention Period</w:t>
      </w:r>
    </w:p>
    <w:p>
      <w:r>
        <w:t xml:space="preserve">The defined length of time a specific category of data must be kept before it becomes eligible for secure disposal, as determined by legal, regulatory, or business requirements.</w:t>
      </w:r>
    </w:p>
    <w:p>
      <w:pPr>
        <w:pStyle w:val="Heading1"/>
      </w:pPr>
      <w:r>
        <w:t xml:space="preserve">4. Data Retention Schedule</w:t>
      </w:r>
    </w:p>
    <w:p>
      <w:r>
        <w:t xml:space="preserve">The table below defines the minimum and maximum retention periods for each category of data handled by the organization. Departments must not retain data beyond the periods specified without documented legal justification.</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000"/>
      </w:tblGrid>
      <w:tr>
        <w:tc>
          <w:tcPr>
            <w:tcW w:type="dxa" w:w="2800"/>
            <w:shd w:fill="D9E2F3" w:val="clear"/>
          </w:tcPr>
          <w:p>
            <w:r>
              <w:rPr>
                <w:b/>
                <w:bCs/>
              </w:rPr>
              <w:t xml:space="preserve">Data Category</w:t>
            </w:r>
          </w:p>
        </w:tc>
        <w:tc>
          <w:tcPr>
            <w:tcW w:type="dxa" w:w="2200"/>
            <w:shd w:fill="D9E2F3" w:val="clear"/>
          </w:tcPr>
          <w:p>
            <w:r>
              <w:rPr>
                <w:b/>
                <w:bCs/>
              </w:rPr>
              <w:t xml:space="preserve">Retention Period</w:t>
            </w:r>
          </w:p>
        </w:tc>
        <w:tc>
          <w:tcPr>
            <w:tcW w:type="dxa" w:w="2400"/>
            <w:shd w:fill="D9E2F3" w:val="clear"/>
          </w:tcPr>
          <w:p>
            <w:r>
              <w:rPr>
                <w:b/>
                <w:bCs/>
              </w:rPr>
              <w:t xml:space="preserve">Legal Basis</w:t>
            </w:r>
          </w:p>
        </w:tc>
        <w:tc>
          <w:tcPr>
            <w:tcW w:type="dxa" w:w="2000"/>
            <w:shd w:fill="D9E2F3" w:val="clear"/>
          </w:tcPr>
          <w:p>
            <w:r>
              <w:rPr>
                <w:b/>
                <w:bCs/>
              </w:rPr>
              <w:t xml:space="preserve">Disposal Method</w:t>
            </w:r>
          </w:p>
        </w:tc>
      </w:tr>
      <w:tr>
        <w:tc>
          <w:tcPr>
            <w:tcW w:type="dxa" w:w="2800"/>
          </w:tcPr>
          <w:p>
            <w:r>
              <w:rPr>
                <w:b w:val="false"/>
                <w:bCs w:val="false"/>
              </w:rPr>
              <w:t xml:space="preserve">Employee personnel records</w:t>
            </w:r>
          </w:p>
        </w:tc>
        <w:tc>
          <w:tcPr>
            <w:tcW w:type="dxa" w:w="2200"/>
          </w:tcPr>
          <w:p>
            <w:r>
              <w:rPr>
                <w:b w:val="false"/>
                <w:bCs w:val="false"/>
              </w:rPr>
              <w:t xml:space="preserve">7 years post-termination</w:t>
            </w:r>
          </w:p>
        </w:tc>
        <w:tc>
          <w:tcPr>
            <w:tcW w:type="dxa" w:w="2400"/>
          </w:tcPr>
          <w:p>
            <w:r>
              <w:rPr>
                <w:b w:val="false"/>
                <w:bCs w:val="false"/>
              </w:rPr>
              <w:t xml:space="preserve">Labor Code §1198.5</w:t>
            </w:r>
          </w:p>
        </w:tc>
        <w:tc>
          <w:tcPr>
            <w:tcW w:type="dxa" w:w="2000"/>
          </w:tcPr>
          <w:p>
            <w:r>
              <w:rPr>
                <w:b w:val="false"/>
                <w:bCs w:val="false"/>
              </w:rPr>
              <w:t xml:space="preserve">Secure shred / crypto-erase</w:t>
            </w:r>
          </w:p>
        </w:tc>
      </w:tr>
      <w:tr>
        <w:tc>
          <w:tcPr>
            <w:tcW w:type="dxa" w:w="2800"/>
          </w:tcPr>
          <w:p>
            <w:r>
              <w:rPr>
                <w:b w:val="false"/>
                <w:bCs w:val="false"/>
              </w:rPr>
              <w:t xml:space="preserve">Customer transaction records</w:t>
            </w:r>
          </w:p>
        </w:tc>
        <w:tc>
          <w:tcPr>
            <w:tcW w:type="dxa" w:w="2200"/>
          </w:tcPr>
          <w:p>
            <w:r>
              <w:rPr>
                <w:b w:val="false"/>
                <w:bCs w:val="false"/>
              </w:rPr>
              <w:t xml:space="preserve">5 years</w:t>
            </w:r>
          </w:p>
        </w:tc>
        <w:tc>
          <w:tcPr>
            <w:tcW w:type="dxa" w:w="2400"/>
          </w:tcPr>
          <w:p>
            <w:r>
              <w:rPr>
                <w:b w:val="false"/>
                <w:bCs w:val="false"/>
              </w:rPr>
              <w:t xml:space="preserve">Tax Code §6001</w:t>
            </w:r>
          </w:p>
        </w:tc>
        <w:tc>
          <w:tcPr>
            <w:tcW w:type="dxa" w:w="2000"/>
          </w:tcPr>
          <w:p>
            <w:r>
              <w:rPr>
                <w:b w:val="false"/>
                <w:bCs w:val="false"/>
              </w:rPr>
              <w:t xml:space="preserve">Crypto-erase</w:t>
            </w:r>
          </w:p>
        </w:tc>
      </w:tr>
      <w:tr>
        <w:tc>
          <w:tcPr>
            <w:tcW w:type="dxa" w:w="2800"/>
          </w:tcPr>
          <w:p>
            <w:r>
              <w:rPr>
                <w:b w:val="false"/>
                <w:bCs w:val="false"/>
              </w:rPr>
              <w:t xml:space="preserve">Marketing consent logs</w:t>
            </w:r>
          </w:p>
        </w:tc>
        <w:tc>
          <w:tcPr>
            <w:tcW w:type="dxa" w:w="2200"/>
          </w:tcPr>
          <w:p>
            <w:r>
              <w:rPr>
                <w:b w:val="false"/>
                <w:bCs w:val="false"/>
              </w:rPr>
              <w:t xml:space="preserve">3 years post-withdrawal</w:t>
            </w:r>
          </w:p>
        </w:tc>
        <w:tc>
          <w:tcPr>
            <w:tcW w:type="dxa" w:w="2400"/>
          </w:tcPr>
          <w:p>
            <w:r>
              <w:rPr>
                <w:b w:val="false"/>
                <w:bCs w:val="false"/>
              </w:rPr>
              <w:t xml:space="preserve">CCPA §1798.105</w:t>
            </w:r>
          </w:p>
        </w:tc>
        <w:tc>
          <w:tcPr>
            <w:tcW w:type="dxa" w:w="2000"/>
          </w:tcPr>
          <w:p>
            <w:r>
              <w:rPr>
                <w:b w:val="false"/>
                <w:bCs w:val="false"/>
              </w:rPr>
              <w:t xml:space="preserve">Crypto-erase</w:t>
            </w:r>
          </w:p>
        </w:tc>
      </w:tr>
      <w:tr>
        <w:tc>
          <w:tcPr>
            <w:tcW w:type="dxa" w:w="2800"/>
          </w:tcPr>
          <w:p>
            <w:r>
              <w:rPr>
                <w:b w:val="false"/>
                <w:bCs w:val="false"/>
              </w:rPr>
              <w:t xml:space="preserve">Security incident reports</w:t>
            </w:r>
          </w:p>
        </w:tc>
        <w:tc>
          <w:tcPr>
            <w:tcW w:type="dxa" w:w="2200"/>
          </w:tcPr>
          <w:p>
            <w:r>
              <w:rPr>
                <w:b w:val="false"/>
                <w:bCs w:val="false"/>
              </w:rPr>
              <w:t xml:space="preserve">10 years</w:t>
            </w:r>
          </w:p>
        </w:tc>
        <w:tc>
          <w:tcPr>
            <w:tcW w:type="dxa" w:w="2400"/>
          </w:tcPr>
          <w:p>
            <w:r>
              <w:rPr>
                <w:b w:val="false"/>
                <w:bCs w:val="false"/>
              </w:rPr>
              <w:t xml:space="preserve">Internal Policy SEC-04</w:t>
            </w:r>
          </w:p>
        </w:tc>
        <w:tc>
          <w:tcPr>
            <w:tcW w:type="dxa" w:w="2000"/>
          </w:tcPr>
          <w:p>
            <w:r>
              <w:rPr>
                <w:b w:val="false"/>
                <w:bCs w:val="false"/>
              </w:rPr>
              <w:t xml:space="preserve">Secure shred / crypto-erase</w:t>
            </w:r>
          </w:p>
        </w:tc>
      </w:tr>
      <w:tr>
        <w:tc>
          <w:tcPr>
            <w:tcW w:type="dxa" w:w="2800"/>
          </w:tcPr>
          <w:p>
            <w:r>
              <w:rPr>
                <w:b w:val="false"/>
                <w:bCs w:val="false"/>
              </w:rPr>
              <w:t xml:space="preserve">Vendor due-diligence files</w:t>
            </w:r>
          </w:p>
        </w:tc>
        <w:tc>
          <w:tcPr>
            <w:tcW w:type="dxa" w:w="2200"/>
          </w:tcPr>
          <w:p>
            <w:r>
              <w:rPr>
                <w:b w:val="false"/>
                <w:bCs w:val="false"/>
              </w:rPr>
              <w:t xml:space="preserve">6 years post-contract end</w:t>
            </w:r>
          </w:p>
        </w:tc>
        <w:tc>
          <w:tcPr>
            <w:tcW w:type="dxa" w:w="2400"/>
          </w:tcPr>
          <w:p>
            <w:r>
              <w:rPr>
                <w:b w:val="false"/>
                <w:bCs w:val="false"/>
              </w:rPr>
              <w:t xml:space="preserve">Internal Policy PROC-02</w:t>
            </w:r>
          </w:p>
        </w:tc>
        <w:tc>
          <w:tcPr>
            <w:tcW w:type="dxa" w:w="2000"/>
          </w:tcPr>
          <w:p>
            <w:r>
              <w:rPr>
                <w:b w:val="false"/>
                <w:bCs w:val="false"/>
              </w:rPr>
              <w:t xml:space="preserve">Secure shred</w:t>
            </w:r>
          </w:p>
        </w:tc>
      </w:tr>
    </w:tbl>
    <w:p/>
    <w:p>
      <w:pPr>
        <w:pStyle w:val="Heading1"/>
      </w:pPr>
      <w:r>
        <w:t xml:space="preserve">5. Data Subject Rights</w:t>
      </w:r>
    </w:p>
    <w:p>
      <w:pPr>
        <w:pStyle w:val="Heading2"/>
      </w:pPr>
      <w:r>
        <w:t xml:space="preserve">5.1 Right to Access</w:t>
      </w:r>
    </w:p>
    <w:p>
      <w:r>
        <w:t xml:space="preserve">Data subjects may request a copy of the personal data the organization holds about them. Requests must be fulfilled within 30 calendar days of verified receipt.</w:t>
      </w:r>
    </w:p>
    <w:p>
      <w:pPr>
        <w:pStyle w:val="Heading2"/>
      </w:pPr>
      <w:r>
        <w:t xml:space="preserve">5.2 Right to Erasure</w:t>
      </w:r>
    </w:p>
    <w:p>
      <w:r>
        <w:t xml:space="preserve">Data subjects may request deletion of their personal data, subject to the retention obligations described in Section 4. Where a legal retention requirement applies, the organization will inform the requester of the applicable exception.</w:t>
      </w:r>
    </w:p>
    <w:p>
      <w:pPr>
        <w:pStyle w:val="Heading1"/>
      </w:pPr>
      <w:r>
        <w:t xml:space="preserve">6. Enforcement</w:t>
      </w:r>
    </w:p>
    <w:p>
      <w:r>
        <w:t xml:space="preserve">Violations of this policy may result in disciplinary action up to and including termination, and may expose the organization to regulatory penalties. All suspected violations must be reported to the Compliance team within 48 hours of discovery.</w:t>
      </w:r>
    </w:p>
    <w:p>
      <w:pPr>
        <w:pStyle w:val="Heading1"/>
      </w:pPr>
      <w:r>
        <w:t xml:space="preserve">7. Revision History</w:t>
      </w:r>
    </w:p>
    <w:p>
      <w:r>
        <w:t xml:space="preserve">Version 1.0 — March 1, 2025 — Initial publication, approved by Legal &amp; 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2026-09-04T00:39:16.365Z</dcterms:created>
  <dcterms:modified xsi:type="dcterms:W3CDTF">2026-09-04T00:39:16.376Z</dcterms:modified>
</cp:coreProperties>
</file>

<file path=docProps/custom.xml><?xml version="1.0" encoding="utf-8"?>
<Properties xmlns="http://schemas.openxmlformats.org/officeDocument/2006/custom-properties" xmlns:vt="http://schemas.openxmlformats.org/officeDocument/2006/docPropsVTypes"/>
</file>