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Employee Code of Conduct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2F2F2" w:val="clear"/>
          </w:tcPr>
          <w:p>
            <w:r>
              <w:rPr>
                <w:b/>
                <w:bCs/>
              </w:rPr>
              <w:t xml:space="preserve">Document Owner</w:t>
            </w:r>
          </w:p>
        </w:tc>
        <w:tc>
          <w:tcPr>
            <w:tcW w:type="dxa" w:w="6240"/>
          </w:tcPr>
          <w:p>
            <w:r>
              <w:t xml:space="preserve">Human Resources</w:t>
            </w:r>
          </w:p>
        </w:tc>
      </w:tr>
      <w:tr>
        <w:tc>
          <w:tcPr>
            <w:tcW w:type="dxa" w:w="3120"/>
            <w:shd w:fill="F2F2F2" w:val="clear"/>
          </w:tcPr>
          <w:p>
            <w:r>
              <w:rPr>
                <w:b/>
                <w:bCs/>
              </w:rPr>
              <w:t xml:space="preserve">Department</w:t>
            </w:r>
          </w:p>
        </w:tc>
        <w:tc>
          <w:tcPr>
            <w:tcW w:type="dxa" w:w="6240"/>
          </w:tcPr>
          <w:p>
            <w:r>
              <w:t xml:space="preserve">Human Resources</w:t>
            </w:r>
          </w:p>
        </w:tc>
      </w:tr>
      <w:tr>
        <w:tc>
          <w:tcPr>
            <w:tcW w:type="dxa" w:w="3120"/>
            <w:shd w:fill="F2F2F2" w:val="clear"/>
          </w:tcPr>
          <w:p>
            <w:r>
              <w:rPr>
                <w:b/>
                <w:bCs/>
              </w:rPr>
              <w:t xml:space="preserve">Effective Date</w:t>
            </w:r>
          </w:p>
        </w:tc>
        <w:tc>
          <w:tcPr>
            <w:tcW w:type="dxa" w:w="6240"/>
          </w:tcPr>
          <w:p>
            <w:r>
              <w:t xml:space="preserve">January 15, 2025</w:t>
            </w:r>
          </w:p>
        </w:tc>
      </w:tr>
      <w:tr>
        <w:tc>
          <w:tcPr>
            <w:tcW w:type="dxa" w:w="3120"/>
            <w:shd w:fill="F2F2F2" w:val="clear"/>
          </w:tcPr>
          <w:p>
            <w:r>
              <w:rPr>
                <w:b/>
                <w:bCs/>
              </w:rPr>
              <w:t xml:space="preserve">Lifecycle Status</w:t>
            </w:r>
          </w:p>
        </w:tc>
        <w:tc>
          <w:tcPr>
            <w:tcW w:type="dxa" w:w="6240"/>
          </w:tcPr>
          <w:p>
            <w:r>
              <w:t xml:space="preserve">Active</w:t>
            </w:r>
          </w:p>
        </w:tc>
      </w:tr>
      <w:tr>
        <w:tc>
          <w:tcPr>
            <w:tcW w:type="dxa" w:w="3120"/>
            <w:shd w:fill="F2F2F2" w:val="clear"/>
          </w:tcPr>
          <w:p>
            <w:r>
              <w:rPr>
                <w:b/>
                <w:bCs/>
              </w:rPr>
              <w:t xml:space="preserve">Review Cycle</w:t>
            </w:r>
          </w:p>
        </w:tc>
        <w:tc>
          <w:tcPr>
            <w:tcW w:type="dxa" w:w="6240"/>
          </w:tcPr>
          <w:p>
            <w:r>
              <w:t xml:space="preserve">Annual</w:t>
            </w:r>
          </w:p>
        </w:tc>
      </w:tr>
    </w:tbl>
    <w:p/>
    <w:p>
      <w:pPr>
        <w:pStyle w:val="Heading1"/>
      </w:pPr>
      <w:r>
        <w:t xml:space="preserve">1. Purpose and Scope</w:t>
      </w:r>
    </w:p>
    <w:p>
      <w:r>
        <w:t xml:space="preserve">This Code of Conduct sets out the standards of behavior expected of all employees, contractors, and officers of the organization. It applies at all times while representing the organization, including remote work and off-site business activities.</w:t>
      </w:r>
    </w:p>
    <w:p>
      <w:pPr>
        <w:pStyle w:val="Heading1"/>
      </w:pPr>
      <w:r>
        <w:t xml:space="preserve">2. Standards of Conduct</w:t>
      </w:r>
    </w:p>
    <w:p>
      <w:pPr>
        <w:pStyle w:val="Heading2"/>
      </w:pPr>
      <w:r>
        <w:t xml:space="preserve">2.1 Professional Behavior</w:t>
      </w:r>
    </w:p>
    <w:p>
      <w:r>
        <w:t xml:space="preserve">Employees are expected to treat colleagues, clients, and partners with respect and professionalism at all times, and to perform their duties with honesty and diligence.</w:t>
      </w:r>
    </w:p>
    <w:p>
      <w:pPr>
        <w:pStyle w:val="Heading2"/>
      </w:pPr>
      <w:r>
        <w:t xml:space="preserve">2.2 Conflicts of Interest</w:t>
      </w:r>
    </w:p>
    <w:p>
      <w:r>
        <w:t xml:space="preserve">Employees must disclose any personal, financial, or familial interest that could reasonably be seen to influence their professional judgment. Disclosures must be submitted to the employee's manager and to Human Resources prior to engaging in the activity in question.</w:t>
      </w:r>
    </w:p>
    <w:p>
      <w:pPr>
        <w:pStyle w:val="Heading2"/>
      </w:pPr>
      <w:r>
        <w:t xml:space="preserve">2.3 Confidentiality</w:t>
      </w:r>
    </w:p>
    <w:p>
      <w:r>
        <w:t xml:space="preserve">Employees must not disclose confidential business information, trade secrets, or personal data of employees or customers to any unauthorized party, during or after their employment with the organization.</w:t>
      </w:r>
    </w:p>
    <w:p>
      <w:pPr>
        <w:pStyle w:val="Heading1"/>
      </w:pPr>
      <w:r>
        <w:t xml:space="preserve">3. Anti-Harassment and Non-Discrimination</w:t>
      </w:r>
    </w:p>
    <w:p>
      <w:r>
        <w:t xml:space="preserve">The organization prohibits harassment or discrimination on the basis of race, color, religion, sex, national origin, age, disability, or any other protected characteristic under applicable law. This applies to interactions with colleagues, clients, vendors, and members of the public.</w:t>
      </w:r>
    </w:p>
    <w:p>
      <w:pPr>
        <w:pStyle w:val="Heading1"/>
      </w:pPr>
      <w:r>
        <w:t xml:space="preserve">4. Disciplinary Guidelines</w:t>
      </w:r>
    </w:p>
    <w:p>
      <w:r>
        <w:t xml:space="preserve">The table below outlines standard disciplinary responses to common violations of this Code. Management retains discretion to escalate any response based on severity, and Human Resources must be consulted before any suspension or termination decision is finalized.</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c>
          <w:tcPr>
            <w:tcW w:type="dxa" w:w="3400"/>
            <w:shd w:fill="D9E2F3" w:val="clear"/>
          </w:tcPr>
          <w:p>
            <w:r>
              <w:rPr>
                <w:b/>
                <w:bCs/>
              </w:rPr>
              <w:t xml:space="preserve">Violation Category</w:t>
            </w:r>
          </w:p>
        </w:tc>
        <w:tc>
          <w:tcPr>
            <w:tcW w:type="dxa" w:w="3000"/>
            <w:shd w:fill="D9E2F3" w:val="clear"/>
          </w:tcPr>
          <w:p>
            <w:r>
              <w:rPr>
                <w:b/>
                <w:bCs/>
              </w:rPr>
              <w:t xml:space="preserve">First Occurrence</w:t>
            </w:r>
          </w:p>
        </w:tc>
        <w:tc>
          <w:tcPr>
            <w:tcW w:type="dxa" w:w="3000"/>
            <w:shd w:fill="D9E2F3" w:val="clear"/>
          </w:tcPr>
          <w:p>
            <w:r>
              <w:rPr>
                <w:b/>
                <w:bCs/>
              </w:rPr>
              <w:t xml:space="preserve">Repeat Occurrence</w:t>
            </w:r>
          </w:p>
        </w:tc>
      </w:tr>
      <w:tr>
        <w:tc>
          <w:tcPr>
            <w:tcW w:type="dxa" w:w="3400"/>
          </w:tcPr>
          <w:p>
            <w:r>
              <w:rPr>
                <w:b w:val="false"/>
                <w:bCs w:val="false"/>
              </w:rPr>
              <w:t xml:space="preserve">Tardiness / attendance</w:t>
            </w:r>
          </w:p>
        </w:tc>
        <w:tc>
          <w:tcPr>
            <w:tcW w:type="dxa" w:w="3000"/>
          </w:tcPr>
          <w:p>
            <w:r>
              <w:rPr>
                <w:b w:val="false"/>
                <w:bCs w:val="false"/>
              </w:rPr>
              <w:t xml:space="preserve">Verbal warning</w:t>
            </w:r>
          </w:p>
        </w:tc>
        <w:tc>
          <w:tcPr>
            <w:tcW w:type="dxa" w:w="3000"/>
          </w:tcPr>
          <w:p>
            <w:r>
              <w:rPr>
                <w:b w:val="false"/>
                <w:bCs w:val="false"/>
              </w:rPr>
              <w:t xml:space="preserve">Written warning</w:t>
            </w:r>
          </w:p>
        </w:tc>
      </w:tr>
      <w:tr>
        <w:tc>
          <w:tcPr>
            <w:tcW w:type="dxa" w:w="3400"/>
          </w:tcPr>
          <w:p>
            <w:r>
              <w:rPr>
                <w:b w:val="false"/>
                <w:bCs w:val="false"/>
              </w:rPr>
              <w:t xml:space="preserve">Conflict of interest non-disclosure</w:t>
            </w:r>
          </w:p>
        </w:tc>
        <w:tc>
          <w:tcPr>
            <w:tcW w:type="dxa" w:w="3000"/>
          </w:tcPr>
          <w:p>
            <w:r>
              <w:rPr>
                <w:b w:val="false"/>
                <w:bCs w:val="false"/>
              </w:rPr>
              <w:t xml:space="preserve">Written warning + mandatory training</w:t>
            </w:r>
          </w:p>
        </w:tc>
        <w:tc>
          <w:tcPr>
            <w:tcW w:type="dxa" w:w="3000"/>
          </w:tcPr>
          <w:p>
            <w:r>
              <w:rPr>
                <w:b w:val="false"/>
                <w:bCs w:val="false"/>
              </w:rPr>
              <w:t xml:space="preserve">Suspension</w:t>
            </w:r>
          </w:p>
        </w:tc>
      </w:tr>
      <w:tr>
        <w:tc>
          <w:tcPr>
            <w:tcW w:type="dxa" w:w="3400"/>
          </w:tcPr>
          <w:p>
            <w:r>
              <w:rPr>
                <w:b w:val="false"/>
                <w:bCs w:val="false"/>
              </w:rPr>
              <w:t xml:space="preserve">Harassment or discrimination</w:t>
            </w:r>
          </w:p>
        </w:tc>
        <w:tc>
          <w:tcPr>
            <w:tcW w:type="dxa" w:w="3000"/>
          </w:tcPr>
          <w:p>
            <w:r>
              <w:rPr>
                <w:b w:val="false"/>
                <w:bCs w:val="false"/>
              </w:rPr>
              <w:t xml:space="preserve">Formal investigation; suspension pending outcome</w:t>
            </w:r>
          </w:p>
        </w:tc>
        <w:tc>
          <w:tcPr>
            <w:tcW w:type="dxa" w:w="3000"/>
          </w:tcPr>
          <w:p>
            <w:r>
              <w:rPr>
                <w:b w:val="false"/>
                <w:bCs w:val="false"/>
              </w:rPr>
              <w:t xml:space="preserve">Termination</w:t>
            </w:r>
          </w:p>
        </w:tc>
      </w:tr>
      <w:tr>
        <w:tc>
          <w:tcPr>
            <w:tcW w:type="dxa" w:w="3400"/>
          </w:tcPr>
          <w:p>
            <w:r>
              <w:rPr>
                <w:b w:val="false"/>
                <w:bCs w:val="false"/>
              </w:rPr>
              <w:t xml:space="preserve">Confidentiality breach</w:t>
            </w:r>
          </w:p>
        </w:tc>
        <w:tc>
          <w:tcPr>
            <w:tcW w:type="dxa" w:w="3000"/>
          </w:tcPr>
          <w:p>
            <w:r>
              <w:rPr>
                <w:b w:val="false"/>
                <w:bCs w:val="false"/>
              </w:rPr>
              <w:t xml:space="preserve">Formal investigation; written warning minimum</w:t>
            </w:r>
          </w:p>
        </w:tc>
        <w:tc>
          <w:tcPr>
            <w:tcW w:type="dxa" w:w="3000"/>
          </w:tcPr>
          <w:p>
            <w:r>
              <w:rPr>
                <w:b w:val="false"/>
                <w:bCs w:val="false"/>
              </w:rPr>
              <w:t xml:space="preserve">Termination</w:t>
            </w:r>
          </w:p>
        </w:tc>
      </w:tr>
      <w:tr>
        <w:tc>
          <w:tcPr>
            <w:tcW w:type="dxa" w:w="3400"/>
          </w:tcPr>
          <w:p>
            <w:r>
              <w:rPr>
                <w:b w:val="false"/>
                <w:bCs w:val="false"/>
              </w:rPr>
              <w:t xml:space="preserve">Falsification of records</w:t>
            </w:r>
          </w:p>
        </w:tc>
        <w:tc>
          <w:tcPr>
            <w:tcW w:type="dxa" w:w="3000"/>
          </w:tcPr>
          <w:p>
            <w:r>
              <w:rPr>
                <w:b w:val="false"/>
                <w:bCs w:val="false"/>
              </w:rPr>
              <w:t xml:space="preserve">Termination</w:t>
            </w:r>
          </w:p>
        </w:tc>
        <w:tc>
          <w:tcPr>
            <w:tcW w:type="dxa" w:w="3000"/>
          </w:tcPr>
          <w:p>
            <w:r>
              <w:rPr>
                <w:b w:val="false"/>
                <w:bCs w:val="false"/>
              </w:rPr>
              <w:t xml:space="preserve">Termination</w:t>
            </w:r>
          </w:p>
        </w:tc>
      </w:tr>
    </w:tbl>
    <w:p/>
    <w:p>
      <w:pPr>
        <w:pStyle w:val="Heading1"/>
      </w:pPr>
      <w:r>
        <w:t xml:space="preserve">5. Reporting Procedures</w:t>
      </w:r>
    </w:p>
    <w:p>
      <w:pPr>
        <w:pStyle w:val="Heading2"/>
      </w:pPr>
      <w:r>
        <w:t xml:space="preserve">5.1 How to Report</w:t>
      </w:r>
    </w:p>
    <w:p>
      <w:r>
        <w:t xml:space="preserve">Employees who witness or experience a violation of this Code should report it to their manager, Human Resources, or through the confidential ethics hotline. Reports may be made anonymously.</w:t>
      </w:r>
    </w:p>
    <w:p>
      <w:pPr>
        <w:pStyle w:val="Heading2"/>
      </w:pPr>
      <w:r>
        <w:t xml:space="preserve">5.2 Non-Retaliation</w:t>
      </w:r>
    </w:p>
    <w:p>
      <w:r>
        <w:t xml:space="preserve">The organization strictly prohibits retaliation against any employee who reports a violation in good faith, or who participates in an investigation. Retaliation is itself grounds for disciplinary action, up to and including termination.</w:t>
      </w:r>
    </w:p>
    <w:p>
      <w:pPr>
        <w:pStyle w:val="Heading1"/>
      </w:pPr>
      <w:r>
        <w:t xml:space="preserve">6. Revision History</w:t>
      </w:r>
    </w:p>
    <w:p>
      <w:r>
        <w:t xml:space="preserve">Version 1.0 — January 15, 2025 — Initial publication, approved by Human Resources.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2026-09-04T00:39:16.574Z</dcterms:created>
  <dcterms:modified xsi:type="dcterms:W3CDTF">2026-09-04T00:39:16.574Z</dcterms:modified>
</cp:coreProperties>
</file>

<file path=docProps/custom.xml><?xml version="1.0" encoding="utf-8"?>
<Properties xmlns="http://schemas.openxmlformats.org/officeDocument/2006/custom-properties" xmlns:vt="http://schemas.openxmlformats.org/officeDocument/2006/docPropsVTypes"/>
</file>