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F7DCFB" w14:textId="77777777" w:rsidR="007B1B4A" w:rsidRDefault="004A112D" w:rsidP="00D724B1">
      <w:pPr>
        <w:spacing w:after="0"/>
        <w:jc w:val="center"/>
        <w:rPr>
          <w:b/>
          <w:sz w:val="28"/>
          <w:szCs w:val="28"/>
          <w:lang w:val="en-GB"/>
        </w:rPr>
      </w:pPr>
      <w:r w:rsidRPr="00437B2F">
        <w:rPr>
          <w:b/>
          <w:sz w:val="28"/>
          <w:szCs w:val="28"/>
          <w:lang w:val="en-GB"/>
        </w:rPr>
        <w:t>Characterization of explosive erupt</w:t>
      </w:r>
      <w:r w:rsidR="00E96B1C">
        <w:rPr>
          <w:b/>
          <w:sz w:val="28"/>
          <w:szCs w:val="28"/>
          <w:lang w:val="en-GB"/>
        </w:rPr>
        <w:t>ion</w:t>
      </w:r>
      <w:r w:rsidR="00A2685E">
        <w:rPr>
          <w:b/>
          <w:sz w:val="28"/>
          <w:szCs w:val="28"/>
          <w:lang w:val="en-GB"/>
        </w:rPr>
        <w:t>s</w:t>
      </w:r>
      <w:r w:rsidR="00E96B1C">
        <w:rPr>
          <w:b/>
          <w:sz w:val="28"/>
          <w:szCs w:val="28"/>
          <w:lang w:val="en-GB"/>
        </w:rPr>
        <w:t xml:space="preserve"> based on tephra </w:t>
      </w:r>
      <w:r w:rsidR="00AF3B30">
        <w:rPr>
          <w:b/>
          <w:sz w:val="28"/>
          <w:szCs w:val="28"/>
          <w:lang w:val="en-GB"/>
        </w:rPr>
        <w:t>deposit</w:t>
      </w:r>
      <w:r w:rsidR="00952065">
        <w:rPr>
          <w:b/>
          <w:sz w:val="28"/>
          <w:szCs w:val="28"/>
          <w:lang w:val="en-GB"/>
        </w:rPr>
        <w:t>s</w:t>
      </w:r>
      <w:r w:rsidR="007B1B4A">
        <w:rPr>
          <w:b/>
          <w:sz w:val="28"/>
          <w:szCs w:val="28"/>
          <w:lang w:val="en-GB"/>
        </w:rPr>
        <w:t xml:space="preserve">: </w:t>
      </w:r>
    </w:p>
    <w:p w14:paraId="0CE545A7" w14:textId="77777777" w:rsidR="00D724B1" w:rsidRDefault="007B1B4A" w:rsidP="00D724B1">
      <w:pPr>
        <w:spacing w:after="0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plume height, mass eruption rate, erupted volume, eruption classification</w:t>
      </w:r>
    </w:p>
    <w:p w14:paraId="52ADE18C" w14:textId="77777777" w:rsidR="00E96B1C" w:rsidRPr="00A734F8" w:rsidRDefault="00E96B1C" w:rsidP="00D724B1">
      <w:pPr>
        <w:spacing w:after="0"/>
        <w:jc w:val="center"/>
        <w:rPr>
          <w:b/>
          <w:sz w:val="20"/>
          <w:szCs w:val="20"/>
          <w:lang w:val="en-GB"/>
        </w:rPr>
      </w:pPr>
    </w:p>
    <w:p w14:paraId="73B29571" w14:textId="022509BB" w:rsidR="00F01776" w:rsidRPr="00A734F8" w:rsidRDefault="004A112D" w:rsidP="00A734F8">
      <w:pPr>
        <w:pBdr>
          <w:bottom w:val="single" w:sz="12" w:space="1" w:color="auto"/>
        </w:pBdr>
        <w:jc w:val="center"/>
        <w:rPr>
          <w:b/>
          <w:i/>
          <w:lang w:val="it-IT"/>
        </w:rPr>
      </w:pPr>
      <w:r w:rsidRPr="00A734F8">
        <w:rPr>
          <w:b/>
          <w:i/>
          <w:lang w:val="it-IT"/>
        </w:rPr>
        <w:t>Costanza Bonadonna</w:t>
      </w:r>
      <w:r w:rsidR="00A734F8" w:rsidRPr="00A734F8">
        <w:rPr>
          <w:b/>
          <w:i/>
          <w:lang w:val="it-IT"/>
        </w:rPr>
        <w:t>, Eduardo Rossi</w:t>
      </w:r>
      <w:r w:rsidR="00A734F8">
        <w:rPr>
          <w:b/>
          <w:i/>
          <w:lang w:val="it-IT"/>
        </w:rPr>
        <w:t xml:space="preserve"> </w:t>
      </w:r>
      <w:r w:rsidRPr="00A734F8">
        <w:rPr>
          <w:b/>
          <w:i/>
          <w:lang w:val="it-IT"/>
        </w:rPr>
        <w:t xml:space="preserve"> </w:t>
      </w:r>
      <w:r w:rsidRPr="00A734F8">
        <w:rPr>
          <w:i/>
          <w:lang w:val="it-IT"/>
        </w:rPr>
        <w:t>University of Geneva</w:t>
      </w:r>
      <w:r w:rsidRPr="00A734F8">
        <w:rPr>
          <w:i/>
          <w:lang w:val="it-IT"/>
        </w:rPr>
        <w:br/>
      </w:r>
      <w:hyperlink r:id="rId7" w:history="1">
        <w:r w:rsidR="00D76F91" w:rsidRPr="00A734F8">
          <w:rPr>
            <w:rStyle w:val="Hyperlink"/>
            <w:i/>
            <w:lang w:val="it-IT"/>
          </w:rPr>
          <w:t>Costanza.Bonadonna@unige.ch</w:t>
        </w:r>
      </w:hyperlink>
      <w:r w:rsidR="00D76F91" w:rsidRPr="00A734F8">
        <w:rPr>
          <w:i/>
          <w:lang w:val="it-IT"/>
        </w:rPr>
        <w:t xml:space="preserve">, </w:t>
      </w:r>
      <w:hyperlink r:id="rId8" w:history="1">
        <w:r w:rsidR="002A4486" w:rsidRPr="003E7E9E">
          <w:rPr>
            <w:rStyle w:val="Hyperlink"/>
            <w:i/>
            <w:lang w:val="it-IT"/>
          </w:rPr>
          <w:t>Eduardo.Rossi@unige.ch</w:t>
        </w:r>
      </w:hyperlink>
      <w:r w:rsidR="00F01776" w:rsidRPr="00A734F8">
        <w:rPr>
          <w:i/>
          <w:lang w:val="it-IT"/>
        </w:rPr>
        <w:t xml:space="preserve"> </w:t>
      </w:r>
    </w:p>
    <w:p w14:paraId="251C0B3C" w14:textId="77777777" w:rsidR="00D724B1" w:rsidRDefault="00D724B1" w:rsidP="00F8799D">
      <w:pPr>
        <w:spacing w:before="240"/>
        <w:rPr>
          <w:b/>
          <w:lang w:val="en-GB"/>
        </w:rPr>
      </w:pPr>
      <w:r>
        <w:rPr>
          <w:b/>
          <w:lang w:val="en-GB"/>
        </w:rPr>
        <w:t>PART I: Determination of plume height and Mass Eruption Rate</w:t>
      </w:r>
    </w:p>
    <w:p w14:paraId="3FE7C7F3" w14:textId="77777777" w:rsidR="0000063D" w:rsidRPr="0000063D" w:rsidRDefault="0000063D" w:rsidP="0000063D">
      <w:pPr>
        <w:spacing w:after="0" w:line="240" w:lineRule="auto"/>
        <w:jc w:val="both"/>
        <w:rPr>
          <w:lang w:val="en-US"/>
        </w:rPr>
      </w:pPr>
      <w:r>
        <w:rPr>
          <w:b/>
          <w:u w:val="single"/>
          <w:lang w:val="en-US"/>
        </w:rPr>
        <w:t>Objective</w:t>
      </w:r>
      <w:r w:rsidRPr="00D724B1">
        <w:rPr>
          <w:lang w:val="en-US"/>
        </w:rPr>
        <w:t>: determin</w:t>
      </w:r>
      <w:r>
        <w:rPr>
          <w:lang w:val="en-US"/>
        </w:rPr>
        <w:t>ation</w:t>
      </w:r>
      <w:r w:rsidR="003C5013">
        <w:rPr>
          <w:lang w:val="en-US"/>
        </w:rPr>
        <w:t xml:space="preserve"> </w:t>
      </w:r>
      <w:r w:rsidR="0057078D">
        <w:rPr>
          <w:lang w:val="en-US"/>
        </w:rPr>
        <w:t xml:space="preserve">of </w:t>
      </w:r>
      <w:r w:rsidR="003C5013">
        <w:rPr>
          <w:lang w:val="en-US"/>
        </w:rPr>
        <w:t>1)</w:t>
      </w:r>
      <w:r w:rsidR="0057078D">
        <w:rPr>
          <w:lang w:val="en-US"/>
        </w:rPr>
        <w:t xml:space="preserve"> </w:t>
      </w:r>
      <w:r w:rsidRPr="0003747E">
        <w:rPr>
          <w:u w:val="single"/>
          <w:lang w:val="en-US"/>
        </w:rPr>
        <w:t>plume height and wind speed</w:t>
      </w:r>
      <w:r>
        <w:rPr>
          <w:lang w:val="en-US"/>
        </w:rPr>
        <w:t xml:space="preserve"> with the model</w:t>
      </w:r>
      <w:r w:rsidR="003C5013">
        <w:rPr>
          <w:lang w:val="en-US"/>
        </w:rPr>
        <w:t xml:space="preserve"> Rossi et al. (2018)</w:t>
      </w:r>
      <w:r w:rsidR="00DF2437">
        <w:rPr>
          <w:lang w:val="en-US"/>
        </w:rPr>
        <w:t xml:space="preserve">, </w:t>
      </w:r>
      <w:r w:rsidR="003C5013">
        <w:rPr>
          <w:lang w:val="en-US"/>
        </w:rPr>
        <w:t xml:space="preserve">and </w:t>
      </w:r>
      <w:r w:rsidR="0057078D">
        <w:rPr>
          <w:lang w:val="en-US"/>
        </w:rPr>
        <w:t xml:space="preserve">of </w:t>
      </w:r>
      <w:r>
        <w:rPr>
          <w:lang w:val="en-US"/>
        </w:rPr>
        <w:t xml:space="preserve">2) </w:t>
      </w:r>
      <w:r w:rsidRPr="0003747E">
        <w:rPr>
          <w:u w:val="single"/>
          <w:lang w:val="en-US"/>
        </w:rPr>
        <w:t xml:space="preserve">MER </w:t>
      </w:r>
      <w:r>
        <w:rPr>
          <w:lang w:val="en-US"/>
        </w:rPr>
        <w:t>with the methods of Wilson and Walker (1987), Mastin et al. (2009) and Degruyter and Bonadonna (2012).</w:t>
      </w:r>
    </w:p>
    <w:p w14:paraId="39EE963C" w14:textId="77777777" w:rsidR="00D724B1" w:rsidRPr="00A734F8" w:rsidRDefault="00D724B1" w:rsidP="00D724B1">
      <w:pPr>
        <w:spacing w:after="0" w:line="240" w:lineRule="auto"/>
        <w:jc w:val="both"/>
        <w:rPr>
          <w:sz w:val="16"/>
          <w:szCs w:val="16"/>
          <w:lang w:val="en-US"/>
        </w:rPr>
      </w:pPr>
    </w:p>
    <w:p w14:paraId="1106574A" w14:textId="4D0A5E83" w:rsidR="001C411C" w:rsidRPr="00437B2F" w:rsidRDefault="00DC4A0F">
      <w:pPr>
        <w:rPr>
          <w:lang w:val="en-GB"/>
        </w:rPr>
      </w:pPr>
      <w:r w:rsidRPr="00437B2F">
        <w:rPr>
          <w:b/>
          <w:lang w:val="en-GB"/>
        </w:rPr>
        <w:t>1.</w:t>
      </w:r>
      <w:r w:rsidR="007222BA" w:rsidRPr="00437B2F">
        <w:rPr>
          <w:lang w:val="en-GB"/>
        </w:rPr>
        <w:t xml:space="preserve"> Please compile an isopleth map based on the document provided and </w:t>
      </w:r>
      <w:r w:rsidRPr="00437B2F">
        <w:rPr>
          <w:lang w:val="en-GB"/>
        </w:rPr>
        <w:t xml:space="preserve">calculate </w:t>
      </w:r>
      <w:r w:rsidRPr="0003747E">
        <w:rPr>
          <w:b/>
          <w:lang w:val="en-GB"/>
        </w:rPr>
        <w:t>the height of the plume</w:t>
      </w:r>
      <w:r w:rsidRPr="00437B2F">
        <w:rPr>
          <w:lang w:val="en-GB"/>
        </w:rPr>
        <w:t xml:space="preserve"> (</w:t>
      </w:r>
      <w:r w:rsidRPr="0061021E">
        <w:rPr>
          <w:u w:val="single"/>
          <w:lang w:val="en-GB"/>
        </w:rPr>
        <w:t xml:space="preserve">above </w:t>
      </w:r>
      <w:r w:rsidR="0085017F">
        <w:rPr>
          <w:u w:val="single"/>
          <w:lang w:val="en-GB"/>
        </w:rPr>
        <w:t>the vent</w:t>
      </w:r>
      <w:r w:rsidRPr="00437B2F">
        <w:rPr>
          <w:lang w:val="en-GB"/>
        </w:rPr>
        <w:t xml:space="preserve">) </w:t>
      </w:r>
      <w:r w:rsidR="0003747E">
        <w:rPr>
          <w:lang w:val="en-GB"/>
        </w:rPr>
        <w:t xml:space="preserve">and the </w:t>
      </w:r>
      <w:r w:rsidR="0003747E" w:rsidRPr="0003747E">
        <w:rPr>
          <w:b/>
          <w:lang w:val="en-GB"/>
        </w:rPr>
        <w:t>wind speed</w:t>
      </w:r>
      <w:r w:rsidR="0003747E">
        <w:rPr>
          <w:lang w:val="en-GB"/>
        </w:rPr>
        <w:t xml:space="preserve"> </w:t>
      </w:r>
      <w:r w:rsidR="0085017F">
        <w:rPr>
          <w:lang w:val="en-GB"/>
        </w:rPr>
        <w:t>based on</w:t>
      </w:r>
      <w:r w:rsidRPr="00437B2F">
        <w:rPr>
          <w:lang w:val="en-GB"/>
        </w:rPr>
        <w:t xml:space="preserve"> the method of </w:t>
      </w:r>
      <w:r w:rsidR="00C92498">
        <w:rPr>
          <w:lang w:val="en-GB"/>
        </w:rPr>
        <w:t>Rossi et al. (201</w:t>
      </w:r>
      <w:r w:rsidR="0031557F">
        <w:rPr>
          <w:lang w:val="en-GB"/>
        </w:rPr>
        <w:t>8</w:t>
      </w:r>
      <w:r w:rsidR="00F01776">
        <w:rPr>
          <w:lang w:val="en-GB"/>
        </w:rPr>
        <w:t>)</w:t>
      </w:r>
      <w:r w:rsidR="00CB44A8" w:rsidRPr="00437B2F">
        <w:rPr>
          <w:lang w:val="en-GB"/>
        </w:rPr>
        <w:t xml:space="preserve"> </w:t>
      </w:r>
      <w:r w:rsidR="0085017F" w:rsidRPr="00AE1230">
        <w:rPr>
          <w:u w:val="single"/>
          <w:lang w:val="en-GB"/>
        </w:rPr>
        <w:t>using both the nomograms (Fig. 1) and the Matlab script provided</w:t>
      </w:r>
      <w:r w:rsidRPr="00437B2F">
        <w:rPr>
          <w:lang w:val="en-GB"/>
        </w:rPr>
        <w:t>.</w:t>
      </w:r>
      <w:r w:rsidR="00CB44A8" w:rsidRPr="00437B2F">
        <w:rPr>
          <w:lang w:val="en-GB"/>
        </w:rPr>
        <w:t xml:space="preserve"> The map represents the largest lithics </w:t>
      </w:r>
      <w:r w:rsidR="00D724B1">
        <w:rPr>
          <w:lang w:val="en-GB"/>
        </w:rPr>
        <w:t>o</w:t>
      </w:r>
      <w:r w:rsidR="007222BA" w:rsidRPr="00437B2F">
        <w:rPr>
          <w:lang w:val="en-GB"/>
        </w:rPr>
        <w:t>f the Layer 3 of Cotopaxi volcano</w:t>
      </w:r>
      <w:r w:rsidR="00DE4C93">
        <w:rPr>
          <w:lang w:val="en-GB"/>
        </w:rPr>
        <w:t xml:space="preserve"> (</w:t>
      </w:r>
      <w:r w:rsidR="00B6247B">
        <w:rPr>
          <w:lang w:val="en-GB"/>
        </w:rPr>
        <w:t xml:space="preserve">vent height: </w:t>
      </w:r>
      <w:r w:rsidR="00DE4C93">
        <w:rPr>
          <w:lang w:val="en-GB"/>
        </w:rPr>
        <w:t>5.</w:t>
      </w:r>
      <w:r w:rsidR="007B027D">
        <w:rPr>
          <w:lang w:val="en-GB"/>
        </w:rPr>
        <w:t>7</w:t>
      </w:r>
      <w:r w:rsidR="00DE4C93">
        <w:rPr>
          <w:lang w:val="en-GB"/>
        </w:rPr>
        <w:t xml:space="preserve"> km above sea level)</w:t>
      </w:r>
      <w:r w:rsidR="007222BA" w:rsidRPr="00437B2F">
        <w:rPr>
          <w:lang w:val="en-GB"/>
        </w:rPr>
        <w:t>. Assume a density of lithics of</w:t>
      </w:r>
      <w:r w:rsidR="00CB44A8" w:rsidRPr="00437B2F">
        <w:rPr>
          <w:lang w:val="en-GB"/>
        </w:rPr>
        <w:t xml:space="preserve"> 2500 kg/m</w:t>
      </w:r>
      <w:r w:rsidR="0031557F">
        <w:rPr>
          <w:vertAlign w:val="superscript"/>
          <w:lang w:val="en-GB"/>
        </w:rPr>
        <w:t>3</w:t>
      </w:r>
      <w:r w:rsidR="0085017F">
        <w:rPr>
          <w:lang w:val="en-GB"/>
        </w:rPr>
        <w:t xml:space="preserve"> and consider an average altitude </w:t>
      </w:r>
      <w:r w:rsidR="001009AA">
        <w:rPr>
          <w:lang w:val="en-GB"/>
        </w:rPr>
        <w:t xml:space="preserve">of sampling </w:t>
      </w:r>
      <w:r w:rsidR="0085017F">
        <w:rPr>
          <w:lang w:val="en-GB"/>
        </w:rPr>
        <w:t xml:space="preserve">above </w:t>
      </w:r>
      <w:r w:rsidR="006C3FE6">
        <w:rPr>
          <w:lang w:val="en-GB"/>
        </w:rPr>
        <w:t>sea level</w:t>
      </w:r>
      <w:r w:rsidR="0085017F" w:rsidRPr="001009AA">
        <w:rPr>
          <w:lang w:val="en-GB"/>
        </w:rPr>
        <w:t xml:space="preserve"> of </w:t>
      </w:r>
      <w:r w:rsidR="007B027D">
        <w:rPr>
          <w:lang w:val="en-GB"/>
        </w:rPr>
        <w:t>3500</w:t>
      </w:r>
      <w:r w:rsidR="0085017F" w:rsidRPr="001009AA">
        <w:rPr>
          <w:lang w:val="en-GB"/>
        </w:rPr>
        <w:t xml:space="preserve"> m</w:t>
      </w:r>
      <w:r w:rsidR="0085017F">
        <w:rPr>
          <w:lang w:val="en-GB"/>
        </w:rPr>
        <w:t>.</w:t>
      </w:r>
      <w:r w:rsidR="00CB44A8" w:rsidRPr="00437B2F">
        <w:rPr>
          <w:lang w:val="en-GB"/>
        </w:rPr>
        <w:t xml:space="preserve"> Before starting, be sure to </w:t>
      </w:r>
      <w:r w:rsidR="00C10CB3" w:rsidRPr="00437B2F">
        <w:rPr>
          <w:lang w:val="en-GB"/>
        </w:rPr>
        <w:t>choose</w:t>
      </w:r>
      <w:r w:rsidR="00CB44A8" w:rsidRPr="00437B2F">
        <w:rPr>
          <w:lang w:val="en-GB"/>
        </w:rPr>
        <w:t xml:space="preserve"> your contour values according to figure 1.</w:t>
      </w:r>
    </w:p>
    <w:p w14:paraId="3B4F5D0B" w14:textId="77777777" w:rsidR="00DC4A0F" w:rsidRDefault="00F01776" w:rsidP="00F01776">
      <w:pPr>
        <w:jc w:val="center"/>
      </w:pPr>
      <w:r>
        <w:rPr>
          <w:noProof/>
        </w:rPr>
        <w:drawing>
          <wp:inline distT="0" distB="0" distL="0" distR="0" wp14:anchorId="2D6AECFC" wp14:editId="7A12514A">
            <wp:extent cx="4224020" cy="2263698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nale_16_esercizi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517" cy="228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3A72" w14:textId="77777777" w:rsidR="00F01776" w:rsidRDefault="00F01776" w:rsidP="00F01776">
      <w:pPr>
        <w:jc w:val="center"/>
      </w:pPr>
      <w:r>
        <w:rPr>
          <w:noProof/>
        </w:rPr>
        <w:drawing>
          <wp:inline distT="0" distB="0" distL="0" distR="0" wp14:anchorId="2BC58A9B" wp14:editId="54632690">
            <wp:extent cx="3980986" cy="22879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nale_32_esercizi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525" cy="231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243F" w14:textId="77777777" w:rsidR="0085017F" w:rsidRDefault="00CB44A8" w:rsidP="0085017F">
      <w:pPr>
        <w:spacing w:after="0"/>
        <w:jc w:val="center"/>
        <w:rPr>
          <w:i/>
          <w:sz w:val="16"/>
          <w:szCs w:val="16"/>
          <w:lang w:val="en-GB"/>
        </w:rPr>
      </w:pPr>
      <w:r w:rsidRPr="00437B2F">
        <w:rPr>
          <w:b/>
          <w:i/>
          <w:sz w:val="16"/>
          <w:szCs w:val="16"/>
          <w:lang w:val="en-GB"/>
        </w:rPr>
        <w:t>Figure 1:</w:t>
      </w:r>
      <w:r w:rsidRPr="00437B2F">
        <w:rPr>
          <w:i/>
          <w:sz w:val="16"/>
          <w:szCs w:val="16"/>
          <w:lang w:val="en-GB"/>
        </w:rPr>
        <w:t xml:space="preserve"> </w:t>
      </w:r>
      <w:r w:rsidR="0083029A">
        <w:rPr>
          <w:i/>
          <w:sz w:val="16"/>
          <w:szCs w:val="16"/>
          <w:lang w:val="en-GB"/>
        </w:rPr>
        <w:t>Nomograms</w:t>
      </w:r>
      <w:r w:rsidRPr="00437B2F">
        <w:rPr>
          <w:i/>
          <w:sz w:val="16"/>
          <w:szCs w:val="16"/>
          <w:lang w:val="en-GB"/>
        </w:rPr>
        <w:t xml:space="preserve"> of </w:t>
      </w:r>
      <w:r w:rsidR="00F01776">
        <w:rPr>
          <w:i/>
          <w:sz w:val="16"/>
          <w:szCs w:val="16"/>
          <w:lang w:val="en-GB"/>
        </w:rPr>
        <w:t>Rossi et al. (2018</w:t>
      </w:r>
      <w:r w:rsidRPr="00437B2F">
        <w:rPr>
          <w:i/>
          <w:sz w:val="16"/>
          <w:szCs w:val="16"/>
          <w:lang w:val="en-GB"/>
        </w:rPr>
        <w:t xml:space="preserve">) to calculate </w:t>
      </w:r>
      <w:r w:rsidR="0085017F">
        <w:rPr>
          <w:i/>
          <w:sz w:val="16"/>
          <w:szCs w:val="16"/>
          <w:lang w:val="en-GB"/>
        </w:rPr>
        <w:t>plume height</w:t>
      </w:r>
    </w:p>
    <w:p w14:paraId="72A75009" w14:textId="77777777" w:rsidR="00DC4A0F" w:rsidRDefault="0083029A" w:rsidP="0085017F">
      <w:pPr>
        <w:spacing w:after="0"/>
        <w:jc w:val="center"/>
        <w:rPr>
          <w:i/>
          <w:sz w:val="16"/>
          <w:szCs w:val="16"/>
          <w:lang w:val="en-GB"/>
        </w:rPr>
      </w:pPr>
      <w:r>
        <w:rPr>
          <w:i/>
          <w:sz w:val="16"/>
          <w:szCs w:val="16"/>
          <w:lang w:val="en-GB"/>
        </w:rPr>
        <w:t xml:space="preserve"> </w:t>
      </w:r>
      <w:r w:rsidR="0085017F">
        <w:rPr>
          <w:i/>
          <w:sz w:val="16"/>
          <w:szCs w:val="16"/>
          <w:lang w:val="en-GB"/>
        </w:rPr>
        <w:t>based on</w:t>
      </w:r>
      <w:r>
        <w:rPr>
          <w:i/>
          <w:sz w:val="16"/>
          <w:szCs w:val="16"/>
          <w:lang w:val="en-GB"/>
        </w:rPr>
        <w:t xml:space="preserve"> </w:t>
      </w:r>
      <w:r w:rsidR="0085017F">
        <w:rPr>
          <w:i/>
          <w:sz w:val="16"/>
          <w:szCs w:val="16"/>
          <w:lang w:val="en-GB"/>
        </w:rPr>
        <w:t>particle diameters of 1.6 and 3.2 cm and a density of 2500 kg/m</w:t>
      </w:r>
      <w:r w:rsidR="0085017F" w:rsidRPr="0085017F">
        <w:rPr>
          <w:i/>
          <w:sz w:val="16"/>
          <w:szCs w:val="16"/>
          <w:vertAlign w:val="superscript"/>
          <w:lang w:val="en-GB"/>
        </w:rPr>
        <w:t>3</w:t>
      </w:r>
      <w:r w:rsidR="0085017F">
        <w:rPr>
          <w:i/>
          <w:sz w:val="16"/>
          <w:szCs w:val="16"/>
          <w:lang w:val="en-GB"/>
        </w:rPr>
        <w:t>.</w:t>
      </w:r>
    </w:p>
    <w:p w14:paraId="17B67098" w14:textId="7FC08058" w:rsidR="00F8799D" w:rsidRDefault="00F8799D" w:rsidP="00F8799D">
      <w:pPr>
        <w:spacing w:before="360"/>
        <w:rPr>
          <w:u w:val="single"/>
          <w:lang w:val="en-GB"/>
        </w:rPr>
      </w:pPr>
      <w:r>
        <w:rPr>
          <w:u w:val="single"/>
          <w:lang w:val="en-GB"/>
        </w:rPr>
        <w:lastRenderedPageBreak/>
        <w:t xml:space="preserve">Calculate the plume height (km) and wind speed (m/s) as an average value of the results obtained from the different plots considered. </w:t>
      </w:r>
      <w:r w:rsidR="00922DE2">
        <w:rPr>
          <w:u w:val="single"/>
          <w:lang w:val="en-GB"/>
        </w:rPr>
        <w:t>Please also indicate the associated variation (i.e. ±(max-min)/2).</w:t>
      </w:r>
    </w:p>
    <w:p w14:paraId="4D0A2C7E" w14:textId="393CB5FC" w:rsidR="00DE4C93" w:rsidRDefault="00DE4C93" w:rsidP="00DE4C93">
      <w:pPr>
        <w:rPr>
          <w:u w:val="single"/>
          <w:lang w:val="en-GB"/>
        </w:rPr>
      </w:pPr>
      <w:r>
        <w:rPr>
          <w:u w:val="single"/>
          <w:lang w:val="en-GB"/>
        </w:rPr>
        <w:sym w:font="Wingdings" w:char="F0E0"/>
      </w:r>
      <w:r>
        <w:rPr>
          <w:u w:val="single"/>
          <w:lang w:val="en-GB"/>
        </w:rPr>
        <w:t>Make sure to subtract the average height of sampling from the height obtained with the nomograms in order to derive the height above the vent</w:t>
      </w:r>
      <w:r w:rsidR="001009AA">
        <w:rPr>
          <w:u w:val="single"/>
          <w:lang w:val="en-GB"/>
        </w:rPr>
        <w:t xml:space="preserve"> (i.e. </w:t>
      </w:r>
      <w:r w:rsidR="007B027D">
        <w:rPr>
          <w:u w:val="single"/>
          <w:lang w:val="en-GB"/>
        </w:rPr>
        <w:t>vent height</w:t>
      </w:r>
      <w:r w:rsidR="001009AA">
        <w:rPr>
          <w:u w:val="single"/>
          <w:lang w:val="en-GB"/>
        </w:rPr>
        <w:t xml:space="preserve"> – </w:t>
      </w:r>
      <w:r w:rsidR="007B027D">
        <w:rPr>
          <w:u w:val="single"/>
          <w:lang w:val="en-GB"/>
        </w:rPr>
        <w:t>sampling height</w:t>
      </w:r>
      <w:r w:rsidR="001009AA">
        <w:rPr>
          <w:u w:val="single"/>
          <w:lang w:val="en-GB"/>
        </w:rPr>
        <w:t>)</w:t>
      </w:r>
    </w:p>
    <w:p w14:paraId="1A59BD3C" w14:textId="77777777" w:rsidR="00DE4C93" w:rsidRPr="0003747E" w:rsidRDefault="00DE4C93" w:rsidP="00DE4C93">
      <w:pPr>
        <w:rPr>
          <w:u w:val="single"/>
          <w:lang w:val="en-GB"/>
        </w:rPr>
      </w:pPr>
    </w:p>
    <w:p w14:paraId="7FBD6A01" w14:textId="77777777" w:rsidR="00DC4A0F" w:rsidRPr="00437B2F" w:rsidRDefault="00DC4A0F" w:rsidP="0031362E">
      <w:pPr>
        <w:spacing w:after="0" w:line="240" w:lineRule="auto"/>
        <w:rPr>
          <w:lang w:val="en-GB"/>
        </w:rPr>
      </w:pPr>
      <w:r w:rsidRPr="00437B2F">
        <w:rPr>
          <w:b/>
          <w:lang w:val="en-GB"/>
        </w:rPr>
        <w:t>2.</w:t>
      </w:r>
      <w:r w:rsidRPr="00437B2F">
        <w:rPr>
          <w:lang w:val="en-GB"/>
        </w:rPr>
        <w:t xml:space="preserve"> </w:t>
      </w:r>
      <w:r w:rsidR="00CB44A8" w:rsidRPr="00437B2F">
        <w:rPr>
          <w:lang w:val="en-GB"/>
        </w:rPr>
        <w:t xml:space="preserve">The </w:t>
      </w:r>
      <w:r w:rsidR="00CB44A8" w:rsidRPr="0003747E">
        <w:rPr>
          <w:b/>
          <w:lang w:val="en-GB"/>
        </w:rPr>
        <w:t>mass eruption rate</w:t>
      </w:r>
      <w:r w:rsidR="00CB44A8" w:rsidRPr="00437B2F">
        <w:rPr>
          <w:lang w:val="en-GB"/>
        </w:rPr>
        <w:t xml:space="preserve"> (MER</w:t>
      </w:r>
      <w:r w:rsidR="007222BA" w:rsidRPr="00437B2F">
        <w:rPr>
          <w:lang w:val="en-GB"/>
        </w:rPr>
        <w:t>, kg/s</w:t>
      </w:r>
      <w:r w:rsidR="00CB44A8" w:rsidRPr="00437B2F">
        <w:rPr>
          <w:lang w:val="en-GB"/>
        </w:rPr>
        <w:t xml:space="preserve">) can be related to the plume height </w:t>
      </w:r>
      <w:r w:rsidR="0061021E" w:rsidRPr="0061021E">
        <w:rPr>
          <w:u w:val="single"/>
          <w:lang w:val="en-GB"/>
        </w:rPr>
        <w:t>above the vent</w:t>
      </w:r>
      <w:r w:rsidR="0061021E">
        <w:rPr>
          <w:lang w:val="en-GB"/>
        </w:rPr>
        <w:t xml:space="preserve"> </w:t>
      </w:r>
      <w:r w:rsidR="007222BA" w:rsidRPr="00437B2F">
        <w:rPr>
          <w:lang w:val="en-GB"/>
        </w:rPr>
        <w:t xml:space="preserve">(H, km) </w:t>
      </w:r>
      <w:r w:rsidR="00CB44A8" w:rsidRPr="00437B2F">
        <w:rPr>
          <w:lang w:val="en-GB"/>
        </w:rPr>
        <w:t>using the formula of Wilson and Walker (1987):</w:t>
      </w:r>
    </w:p>
    <w:p w14:paraId="2098A5F2" w14:textId="77777777" w:rsidR="00CB44A8" w:rsidRPr="00437B2F" w:rsidRDefault="006633D4" w:rsidP="0031362E">
      <w:pPr>
        <w:spacing w:before="120" w:after="120" w:line="360" w:lineRule="auto"/>
        <w:ind w:firstLine="720"/>
        <w:rPr>
          <w:lang w:val="en-GB"/>
        </w:rPr>
      </w:pPr>
      <w:r w:rsidRPr="007222BA">
        <w:rPr>
          <w:noProof/>
          <w:position w:val="-6"/>
        </w:rPr>
        <w:object w:dxaOrig="1900" w:dyaOrig="520" w14:anchorId="7ACB3C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4.5pt;height:25.5pt;mso-width-percent:0;mso-height-percent:0;mso-width-percent:0;mso-height-percent:0" o:ole="">
            <v:imagedata r:id="rId11" o:title=""/>
          </v:shape>
          <o:OLEObject Type="Embed" ProgID="Equation.3" ShapeID="_x0000_i1025" DrawAspect="Content" ObjectID="_1666620786" r:id="rId12"/>
        </w:object>
      </w:r>
      <w:r w:rsidR="00CB44A8" w:rsidRPr="00437B2F">
        <w:rPr>
          <w:lang w:val="en-GB"/>
        </w:rPr>
        <w:t xml:space="preserve"> </w:t>
      </w:r>
      <w:r w:rsidR="00CB44A8" w:rsidRPr="00437B2F">
        <w:rPr>
          <w:lang w:val="en-GB"/>
        </w:rPr>
        <w:tab/>
      </w:r>
      <w:r w:rsidR="00CB44A8" w:rsidRPr="00437B2F">
        <w:rPr>
          <w:lang w:val="en-GB"/>
        </w:rPr>
        <w:tab/>
      </w:r>
      <w:r w:rsidR="00CB44A8" w:rsidRPr="00437B2F">
        <w:rPr>
          <w:lang w:val="en-GB"/>
        </w:rPr>
        <w:tab/>
      </w:r>
      <w:r w:rsidR="00CB44A8" w:rsidRPr="00437B2F">
        <w:rPr>
          <w:lang w:val="en-GB"/>
        </w:rPr>
        <w:tab/>
      </w:r>
      <w:r w:rsidR="00CB44A8" w:rsidRPr="00437B2F">
        <w:rPr>
          <w:lang w:val="en-GB"/>
        </w:rPr>
        <w:tab/>
      </w:r>
      <w:r w:rsidR="00CB44A8" w:rsidRPr="00437B2F">
        <w:rPr>
          <w:lang w:val="en-GB"/>
        </w:rPr>
        <w:tab/>
      </w:r>
      <w:r w:rsidR="00CB44A8" w:rsidRPr="00437B2F">
        <w:rPr>
          <w:lang w:val="en-GB"/>
        </w:rPr>
        <w:tab/>
      </w:r>
      <w:r w:rsidR="00CB44A8" w:rsidRPr="00437B2F">
        <w:rPr>
          <w:lang w:val="en-GB"/>
        </w:rPr>
        <w:tab/>
      </w:r>
      <w:r w:rsidR="00CB44A8" w:rsidRPr="00437B2F">
        <w:rPr>
          <w:lang w:val="en-GB"/>
        </w:rPr>
        <w:tab/>
        <w:t>(1)</w:t>
      </w:r>
    </w:p>
    <w:p w14:paraId="1B22F8E0" w14:textId="77777777" w:rsidR="00107017" w:rsidRDefault="00107017" w:rsidP="0031362E">
      <w:pPr>
        <w:spacing w:after="0" w:line="240" w:lineRule="auto"/>
        <w:rPr>
          <w:lang w:val="en-GB"/>
        </w:rPr>
      </w:pPr>
    </w:p>
    <w:p w14:paraId="27B2798D" w14:textId="77777777" w:rsidR="00D724B1" w:rsidRPr="005F39C2" w:rsidRDefault="005F39C2" w:rsidP="0031362E">
      <w:pPr>
        <w:spacing w:after="0" w:line="240" w:lineRule="auto"/>
        <w:rPr>
          <w:lang w:val="en-GB"/>
        </w:rPr>
      </w:pPr>
      <w:r>
        <w:rPr>
          <w:lang w:val="en-GB"/>
        </w:rPr>
        <w:t xml:space="preserve">The DRE </w:t>
      </w:r>
      <w:r w:rsidRPr="0003747E">
        <w:rPr>
          <w:b/>
          <w:lang w:val="en-GB"/>
        </w:rPr>
        <w:t>volumetric flow rate</w:t>
      </w:r>
      <w:r>
        <w:rPr>
          <w:lang w:val="en-GB"/>
        </w:rPr>
        <w:t xml:space="preserve"> (</w:t>
      </w:r>
      <w:r w:rsidR="006633D4" w:rsidRPr="00DF05E0">
        <w:rPr>
          <w:noProof/>
          <w:position w:val="-10"/>
        </w:rPr>
        <w:object w:dxaOrig="240" w:dyaOrig="320" w14:anchorId="61D81573">
          <v:shape id="_x0000_i1026" type="#_x0000_t75" alt="" style="width:12pt;height:15.75pt;mso-width-percent:0;mso-height-percent:0;mso-width-percent:0;mso-height-percent:0" o:ole="">
            <v:imagedata r:id="rId13" o:title=""/>
          </v:shape>
          <o:OLEObject Type="Embed" ProgID="Equation.3" ShapeID="_x0000_i1026" DrawAspect="Content" ObjectID="_1666620787" r:id="rId14"/>
        </w:object>
      </w:r>
      <w:r>
        <w:rPr>
          <w:lang w:val="en-GB"/>
        </w:rPr>
        <w:t>; m</w:t>
      </w:r>
      <w:r w:rsidRPr="00C25D8A">
        <w:rPr>
          <w:vertAlign w:val="superscript"/>
          <w:lang w:val="en-GB"/>
        </w:rPr>
        <w:t>3</w:t>
      </w:r>
      <w:r>
        <w:rPr>
          <w:lang w:val="en-GB"/>
        </w:rPr>
        <w:t>/s) can be derived with the equation of</w:t>
      </w:r>
      <w:r w:rsidRPr="005F39C2">
        <w:rPr>
          <w:lang w:val="en-GB"/>
        </w:rPr>
        <w:t xml:space="preserve"> Mastin et al. </w:t>
      </w:r>
      <w:r>
        <w:rPr>
          <w:lang w:val="en-GB"/>
        </w:rPr>
        <w:t>(</w:t>
      </w:r>
      <w:r w:rsidRPr="005F39C2">
        <w:rPr>
          <w:lang w:val="en-GB"/>
        </w:rPr>
        <w:t>2009</w:t>
      </w:r>
      <w:r>
        <w:rPr>
          <w:lang w:val="en-GB"/>
        </w:rPr>
        <w:t>)</w:t>
      </w:r>
      <w:r w:rsidR="0003747E">
        <w:rPr>
          <w:lang w:val="en-GB"/>
        </w:rPr>
        <w:t xml:space="preserve"> (with H expressed in km </w:t>
      </w:r>
      <w:r w:rsidR="0003747E" w:rsidRPr="0061021E">
        <w:rPr>
          <w:u w:val="single"/>
          <w:lang w:val="en-GB"/>
        </w:rPr>
        <w:t>above the vent</w:t>
      </w:r>
      <w:r w:rsidR="0003747E">
        <w:rPr>
          <w:lang w:val="en-GB"/>
        </w:rPr>
        <w:t>)</w:t>
      </w:r>
      <w:r w:rsidRPr="005F39C2">
        <w:rPr>
          <w:lang w:val="en-GB"/>
        </w:rPr>
        <w:t>:</w:t>
      </w:r>
    </w:p>
    <w:p w14:paraId="04EDD757" w14:textId="77777777" w:rsidR="005F39C2" w:rsidRPr="00437B2F" w:rsidRDefault="006633D4" w:rsidP="0031362E">
      <w:pPr>
        <w:spacing w:before="120" w:after="120" w:line="360" w:lineRule="auto"/>
        <w:ind w:firstLine="720"/>
        <w:rPr>
          <w:lang w:val="en-GB"/>
        </w:rPr>
      </w:pPr>
      <w:r w:rsidRPr="005F39C2">
        <w:rPr>
          <w:noProof/>
          <w:position w:val="-28"/>
        </w:rPr>
        <w:object w:dxaOrig="1260" w:dyaOrig="740" w14:anchorId="39BBD03E">
          <v:shape id="_x0000_i1027" type="#_x0000_t75" alt="" style="width:62.25pt;height:36.75pt;mso-width-percent:0;mso-height-percent:0;mso-width-percent:0;mso-height-percent:0" o:ole="">
            <v:imagedata r:id="rId15" o:title=""/>
          </v:shape>
          <o:OLEObject Type="Embed" ProgID="Equation.3" ShapeID="_x0000_i1027" DrawAspect="Content" ObjectID="_1666620788" r:id="rId16"/>
        </w:object>
      </w:r>
      <w:r w:rsidR="005F39C2" w:rsidRPr="00437B2F">
        <w:rPr>
          <w:lang w:val="en-GB"/>
        </w:rPr>
        <w:t xml:space="preserve"> </w:t>
      </w:r>
      <w:r w:rsidR="005F39C2" w:rsidRPr="00437B2F">
        <w:rPr>
          <w:lang w:val="en-GB"/>
        </w:rPr>
        <w:tab/>
      </w:r>
      <w:r w:rsidR="005F39C2" w:rsidRPr="00437B2F">
        <w:rPr>
          <w:lang w:val="en-GB"/>
        </w:rPr>
        <w:tab/>
      </w:r>
      <w:r w:rsidR="005F39C2" w:rsidRPr="00437B2F">
        <w:rPr>
          <w:lang w:val="en-GB"/>
        </w:rPr>
        <w:tab/>
      </w:r>
      <w:r w:rsidR="005F39C2" w:rsidRPr="00437B2F">
        <w:rPr>
          <w:lang w:val="en-GB"/>
        </w:rPr>
        <w:tab/>
      </w:r>
      <w:r w:rsidR="005F39C2" w:rsidRPr="00437B2F">
        <w:rPr>
          <w:lang w:val="en-GB"/>
        </w:rPr>
        <w:tab/>
      </w:r>
      <w:r w:rsidR="005F39C2" w:rsidRPr="00437B2F">
        <w:rPr>
          <w:lang w:val="en-GB"/>
        </w:rPr>
        <w:tab/>
      </w:r>
      <w:r w:rsidR="005F39C2" w:rsidRPr="00437B2F">
        <w:rPr>
          <w:lang w:val="en-GB"/>
        </w:rPr>
        <w:tab/>
      </w:r>
      <w:r w:rsidR="005F39C2" w:rsidRPr="00437B2F">
        <w:rPr>
          <w:lang w:val="en-GB"/>
        </w:rPr>
        <w:tab/>
      </w:r>
      <w:r w:rsidR="005F39C2">
        <w:rPr>
          <w:lang w:val="en-GB"/>
        </w:rPr>
        <w:tab/>
      </w:r>
      <w:r w:rsidR="005F39C2" w:rsidRPr="00437B2F">
        <w:rPr>
          <w:lang w:val="en-GB"/>
        </w:rPr>
        <w:tab/>
        <w:t>(</w:t>
      </w:r>
      <w:r w:rsidR="005F39C2">
        <w:rPr>
          <w:lang w:val="en-GB"/>
        </w:rPr>
        <w:t>2</w:t>
      </w:r>
      <w:r w:rsidR="005F39C2" w:rsidRPr="00437B2F">
        <w:rPr>
          <w:lang w:val="en-GB"/>
        </w:rPr>
        <w:t>)</w:t>
      </w:r>
    </w:p>
    <w:p w14:paraId="336AD22A" w14:textId="77777777" w:rsidR="005F39C2" w:rsidRDefault="006633D4" w:rsidP="00C25D8A">
      <w:pPr>
        <w:spacing w:after="0" w:line="360" w:lineRule="auto"/>
        <w:rPr>
          <w:lang w:val="en-GB"/>
        </w:rPr>
      </w:pPr>
      <w:r w:rsidRPr="005E2357">
        <w:rPr>
          <w:noProof/>
          <w:position w:val="-10"/>
        </w:rPr>
        <w:object w:dxaOrig="240" w:dyaOrig="320" w14:anchorId="7530B0D7">
          <v:shape id="_x0000_i1028" type="#_x0000_t75" alt="" style="width:12pt;height:15.75pt;mso-width-percent:0;mso-height-percent:0;mso-width-percent:0;mso-height-percent:0" o:ole="">
            <v:imagedata r:id="rId17" o:title=""/>
          </v:shape>
          <o:OLEObject Type="Embed" ProgID="Equation.3" ShapeID="_x0000_i1028" DrawAspect="Content" ObjectID="_1666620789" r:id="rId18"/>
        </w:object>
      </w:r>
      <w:r w:rsidR="00C25D8A">
        <w:rPr>
          <w:lang w:val="en-GB"/>
        </w:rPr>
        <w:t xml:space="preserve"> can be converted in MER based on a DRE density of 2500 kg/m</w:t>
      </w:r>
      <w:r w:rsidR="00C25D8A" w:rsidRPr="00C25D8A">
        <w:rPr>
          <w:vertAlign w:val="superscript"/>
          <w:lang w:val="en-GB"/>
        </w:rPr>
        <w:t>3</w:t>
      </w:r>
      <w:r w:rsidR="00C25D8A">
        <w:rPr>
          <w:lang w:val="en-GB"/>
        </w:rPr>
        <w:t>.</w:t>
      </w:r>
    </w:p>
    <w:p w14:paraId="240D5985" w14:textId="77777777" w:rsidR="00107017" w:rsidRDefault="00107017" w:rsidP="0031362E">
      <w:pPr>
        <w:spacing w:after="0" w:line="240" w:lineRule="auto"/>
        <w:rPr>
          <w:lang w:val="en-GB"/>
        </w:rPr>
      </w:pPr>
    </w:p>
    <w:p w14:paraId="2F300900" w14:textId="77777777" w:rsidR="00B2211A" w:rsidRDefault="00B2211A" w:rsidP="0031362E">
      <w:pPr>
        <w:spacing w:after="0" w:line="240" w:lineRule="auto"/>
        <w:rPr>
          <w:lang w:val="en-GB"/>
        </w:rPr>
      </w:pPr>
      <w:r>
        <w:rPr>
          <w:lang w:val="en-GB"/>
        </w:rPr>
        <w:t xml:space="preserve">In order to account for the effect of wind, the MER can be calculated </w:t>
      </w:r>
      <w:r w:rsidR="0006399A">
        <w:rPr>
          <w:lang w:val="en-GB"/>
        </w:rPr>
        <w:t xml:space="preserve">from H </w:t>
      </w:r>
      <w:r w:rsidR="0061021E" w:rsidRPr="0061021E">
        <w:rPr>
          <w:u w:val="single"/>
          <w:lang w:val="en-GB"/>
        </w:rPr>
        <w:t>above the vent</w:t>
      </w:r>
      <w:r w:rsidR="0061021E">
        <w:rPr>
          <w:lang w:val="en-GB"/>
        </w:rPr>
        <w:t xml:space="preserve"> </w:t>
      </w:r>
      <w:r w:rsidR="0006399A">
        <w:rPr>
          <w:lang w:val="en-GB"/>
        </w:rPr>
        <w:t xml:space="preserve">(in m) </w:t>
      </w:r>
      <w:r>
        <w:rPr>
          <w:lang w:val="en-GB"/>
        </w:rPr>
        <w:t>with the formula of Degruyter and Bonadonna (2012):</w:t>
      </w:r>
    </w:p>
    <w:p w14:paraId="60D61BFD" w14:textId="77777777" w:rsidR="00B2211A" w:rsidRDefault="00B2211A" w:rsidP="00C25D8A">
      <w:pPr>
        <w:spacing w:after="0" w:line="360" w:lineRule="auto"/>
        <w:rPr>
          <w:lang w:val="en-GB"/>
        </w:rPr>
      </w:pPr>
    </w:p>
    <w:p w14:paraId="10FCB4B2" w14:textId="77777777" w:rsidR="00B2211A" w:rsidRPr="001008AD" w:rsidRDefault="00992689" w:rsidP="0031362E">
      <w:pPr>
        <w:spacing w:before="120" w:after="120" w:line="240" w:lineRule="auto"/>
        <w:ind w:left="7921" w:firstLine="720"/>
        <w:rPr>
          <w:lang w:val="en-GB"/>
        </w:rPr>
      </w:pPr>
      <w:r>
        <w:rPr>
          <w:b/>
          <w:noProof/>
        </w:rPr>
        <w:object w:dxaOrig="1440" w:dyaOrig="1440" w14:anchorId="67FD0B89">
          <v:shape id="Object 1" o:spid="_x0000_s1026" type="#_x0000_t75" alt="" style="position:absolute;left:0;text-align:left;margin-left:35.95pt;margin-top:.85pt;width:197pt;height:44pt;z-index:251658240;visibility:visible;mso-wrap-edited:f;mso-width-percent:0;mso-height-percent:0;mso-width-percent:0;mso-height-percent:0">
            <v:imagedata r:id="rId19" o:title=""/>
          </v:shape>
          <o:OLEObject Type="Embed" ProgID="Equation.3" ShapeID="Object 1" DrawAspect="Content" ObjectID="_1666620804" r:id="rId20"/>
        </w:object>
      </w:r>
      <w:r w:rsidR="001008AD" w:rsidRPr="001008AD">
        <w:rPr>
          <w:lang w:val="en-GB"/>
        </w:rPr>
        <w:t>(3)</w:t>
      </w:r>
    </w:p>
    <w:p w14:paraId="49ACC6D6" w14:textId="77777777" w:rsidR="00E00FE5" w:rsidRDefault="00E00FE5" w:rsidP="00E00FE5">
      <w:pPr>
        <w:spacing w:before="240"/>
        <w:rPr>
          <w:lang w:val="en-GB"/>
        </w:rPr>
      </w:pPr>
    </w:p>
    <w:p w14:paraId="0454E619" w14:textId="490BE225" w:rsidR="00B2211A" w:rsidRPr="0081485E" w:rsidRDefault="00431848" w:rsidP="00E00FE5">
      <w:pPr>
        <w:spacing w:before="240"/>
        <w:rPr>
          <w:lang w:val="en-GB"/>
        </w:rPr>
      </w:pPr>
      <w:r>
        <w:rPr>
          <w:lang w:val="en-GB"/>
        </w:rPr>
        <w:t>a</w:t>
      </w:r>
      <w:r w:rsidR="00B2211A" w:rsidRPr="00B2211A">
        <w:rPr>
          <w:lang w:val="en-GB"/>
        </w:rPr>
        <w:t>ssum</w:t>
      </w:r>
      <w:r>
        <w:rPr>
          <w:lang w:val="en-GB"/>
        </w:rPr>
        <w:t>ing</w:t>
      </w:r>
      <w:r w:rsidR="00B2211A" w:rsidRPr="00B2211A">
        <w:rPr>
          <w:lang w:val="en-GB"/>
        </w:rPr>
        <w:t xml:space="preserve"> </w:t>
      </w:r>
      <w:r w:rsidR="006633D4" w:rsidRPr="00B2211A">
        <w:rPr>
          <w:noProof/>
          <w:position w:val="-6"/>
        </w:rPr>
        <w:object w:dxaOrig="279" w:dyaOrig="320" w14:anchorId="71B0621B">
          <v:shape id="_x0000_i1030" type="#_x0000_t75" alt="" style="width:13.5pt;height:15.75pt;mso-width-percent:0;mso-height-percent:0;mso-width-percent:0;mso-height-percent:0" o:ole="">
            <v:imagedata r:id="rId21" o:title=""/>
          </v:shape>
          <o:OLEObject Type="Embed" ProgID="Equation.3" ShapeID="_x0000_i1030" DrawAspect="Content" ObjectID="_1666620790" r:id="rId22"/>
        </w:object>
      </w:r>
      <w:r w:rsidR="00B2211A">
        <w:rPr>
          <w:lang w:val="en-GB"/>
        </w:rPr>
        <w:t xml:space="preserve"> = 0.0156 s</w:t>
      </w:r>
      <w:r w:rsidR="00B2211A" w:rsidRPr="00B2211A">
        <w:rPr>
          <w:vertAlign w:val="superscript"/>
          <w:lang w:val="en-GB"/>
        </w:rPr>
        <w:t>-1</w:t>
      </w:r>
      <w:r w:rsidR="0081485E">
        <w:rPr>
          <w:lang w:val="en-GB"/>
        </w:rPr>
        <w:t xml:space="preserve"> (a</w:t>
      </w:r>
      <w:r w:rsidR="0081485E" w:rsidRPr="0081485E">
        <w:rPr>
          <w:lang w:val="en-GB"/>
        </w:rPr>
        <w:t>verage buoyancy frequency across the plume height</w:t>
      </w:r>
      <w:r w:rsidR="0081485E">
        <w:rPr>
          <w:lang w:val="en-GB"/>
        </w:rPr>
        <w:t>),</w:t>
      </w:r>
      <w:r w:rsidR="00B2211A">
        <w:rPr>
          <w:lang w:val="en-GB"/>
        </w:rPr>
        <w:t xml:space="preserve"> </w:t>
      </w:r>
      <w:r w:rsidR="006633D4" w:rsidRPr="00B2211A">
        <w:rPr>
          <w:noProof/>
          <w:position w:val="-6"/>
        </w:rPr>
        <w:object w:dxaOrig="200" w:dyaOrig="260" w14:anchorId="16B08FC3">
          <v:shape id="_x0000_i1031" type="#_x0000_t75" alt="" style="width:9.75pt;height:12pt;mso-width-percent:0;mso-height-percent:0;mso-width-percent:0;mso-height-percent:0" o:ole="">
            <v:imagedata r:id="rId23" o:title=""/>
          </v:shape>
          <o:OLEObject Type="Embed" ProgID="Equation.3" ShapeID="_x0000_i1031" DrawAspect="Content" ObjectID="_1666620791" r:id="rId24"/>
        </w:object>
      </w:r>
      <w:r w:rsidR="00B2211A">
        <w:rPr>
          <w:lang w:val="en-GB"/>
        </w:rPr>
        <w:t xml:space="preserve"> = </w:t>
      </w:r>
      <w:r w:rsidR="00B05A9F">
        <w:rPr>
          <w:lang w:val="en-GB"/>
        </w:rPr>
        <w:t>8.7</w:t>
      </w:r>
      <w:r w:rsidR="00B2211A">
        <w:rPr>
          <w:lang w:val="en-GB"/>
        </w:rPr>
        <w:t xml:space="preserve"> m s</w:t>
      </w:r>
      <w:r w:rsidR="00B2211A" w:rsidRPr="00B2211A">
        <w:rPr>
          <w:vertAlign w:val="superscript"/>
          <w:lang w:val="en-GB"/>
        </w:rPr>
        <w:t>-1</w:t>
      </w:r>
      <w:r w:rsidR="0081485E">
        <w:rPr>
          <w:lang w:val="en-GB"/>
        </w:rPr>
        <w:t xml:space="preserve"> (a</w:t>
      </w:r>
      <w:r w:rsidR="0081485E" w:rsidRPr="0081485E">
        <w:rPr>
          <w:lang w:val="en-GB"/>
        </w:rPr>
        <w:t>verage wind velocity across the plume height</w:t>
      </w:r>
      <w:r w:rsidR="0081485E">
        <w:rPr>
          <w:lang w:val="en-GB"/>
        </w:rPr>
        <w:t>),</w:t>
      </w:r>
      <w:r w:rsidR="00B2211A">
        <w:rPr>
          <w:lang w:val="en-GB"/>
        </w:rPr>
        <w:t xml:space="preserve"> </w:t>
      </w:r>
      <w:r w:rsidR="006633D4" w:rsidRPr="00431848">
        <w:rPr>
          <w:noProof/>
          <w:position w:val="-12"/>
        </w:rPr>
        <w:object w:dxaOrig="400" w:dyaOrig="360" w14:anchorId="0E87D953">
          <v:shape id="_x0000_i1032" type="#_x0000_t75" alt="" style="width:20.25pt;height:17.25pt;mso-width-percent:0;mso-height-percent:0;mso-width-percent:0;mso-height-percent:0" o:ole="">
            <v:imagedata r:id="rId25" o:title=""/>
          </v:shape>
          <o:OLEObject Type="Embed" ProgID="Equation.3" ShapeID="_x0000_i1032" DrawAspect="Content" ObjectID="_1666620792" r:id="rId26"/>
        </w:object>
      </w:r>
      <w:r w:rsidR="00B2211A">
        <w:rPr>
          <w:lang w:val="en-GB"/>
        </w:rPr>
        <w:t xml:space="preserve"> = </w:t>
      </w:r>
      <w:r w:rsidR="00A51F17">
        <w:rPr>
          <w:lang w:val="en-GB"/>
        </w:rPr>
        <w:t>1.2259</w:t>
      </w:r>
      <w:r w:rsidR="00B2211A">
        <w:rPr>
          <w:lang w:val="en-GB"/>
        </w:rPr>
        <w:t xml:space="preserve"> </w:t>
      </w:r>
      <w:r w:rsidR="003768C2">
        <w:rPr>
          <w:lang w:val="en-GB"/>
        </w:rPr>
        <w:t>kg m</w:t>
      </w:r>
      <w:r w:rsidR="00B2211A" w:rsidRPr="00B2211A">
        <w:rPr>
          <w:vertAlign w:val="superscript"/>
          <w:lang w:val="en-GB"/>
        </w:rPr>
        <w:t>-</w:t>
      </w:r>
      <w:r w:rsidR="003768C2">
        <w:rPr>
          <w:vertAlign w:val="superscript"/>
          <w:lang w:val="en-GB"/>
        </w:rPr>
        <w:t>3</w:t>
      </w:r>
      <w:r>
        <w:rPr>
          <w:lang w:val="en-GB"/>
        </w:rPr>
        <w:t xml:space="preserve"> </w:t>
      </w:r>
      <w:r w:rsidR="0081485E">
        <w:rPr>
          <w:lang w:val="en-GB"/>
        </w:rPr>
        <w:t>(d</w:t>
      </w:r>
      <w:r w:rsidR="0081485E" w:rsidRPr="0081485E">
        <w:rPr>
          <w:lang w:val="en-GB"/>
        </w:rPr>
        <w:t>ensity of the atmosphere</w:t>
      </w:r>
      <w:r w:rsidR="00E00FE5">
        <w:rPr>
          <w:lang w:val="en-GB"/>
        </w:rPr>
        <w:t>),</w:t>
      </w:r>
      <w:r w:rsidR="006633D4" w:rsidRPr="00431848">
        <w:rPr>
          <w:noProof/>
          <w:position w:val="-10"/>
        </w:rPr>
        <w:object w:dxaOrig="260" w:dyaOrig="320" w14:anchorId="0CA90272">
          <v:shape id="_x0000_i1033" type="#_x0000_t75" alt="" style="width:13.5pt;height:15.75pt;mso-width-percent:0;mso-height-percent:0;mso-width-percent:0;mso-height-percent:0" o:ole="">
            <v:imagedata r:id="rId27" o:title=""/>
          </v:shape>
          <o:OLEObject Type="Embed" ProgID="Equation.3" ShapeID="_x0000_i1033" DrawAspect="Content" ObjectID="_1666620793" r:id="rId28"/>
        </w:object>
      </w:r>
      <w:r>
        <w:rPr>
          <w:lang w:val="en-GB"/>
        </w:rPr>
        <w:t xml:space="preserve"> = </w:t>
      </w:r>
      <w:r w:rsidR="00A51F17">
        <w:rPr>
          <w:lang w:val="en-GB"/>
        </w:rPr>
        <w:t>45.6525</w:t>
      </w:r>
      <w:r>
        <w:rPr>
          <w:lang w:val="en-GB"/>
        </w:rPr>
        <w:t xml:space="preserve"> </w:t>
      </w:r>
      <w:r w:rsidR="003768C2">
        <w:rPr>
          <w:lang w:val="en-GB"/>
        </w:rPr>
        <w:t xml:space="preserve">m </w:t>
      </w:r>
      <w:r>
        <w:rPr>
          <w:lang w:val="en-GB"/>
        </w:rPr>
        <w:t>s</w:t>
      </w:r>
      <w:r w:rsidRPr="00B2211A">
        <w:rPr>
          <w:vertAlign w:val="superscript"/>
          <w:lang w:val="en-GB"/>
        </w:rPr>
        <w:t>-</w:t>
      </w:r>
      <w:r w:rsidR="003768C2">
        <w:rPr>
          <w:vertAlign w:val="superscript"/>
          <w:lang w:val="en-GB"/>
        </w:rPr>
        <w:t>2</w:t>
      </w:r>
      <w:r w:rsidR="0081485E">
        <w:rPr>
          <w:lang w:val="en-GB"/>
        </w:rPr>
        <w:t xml:space="preserve"> (reduced gravity),  </w:t>
      </w:r>
      <w:r w:rsidR="006633D4" w:rsidRPr="0081485E">
        <w:rPr>
          <w:noProof/>
          <w:position w:val="-6"/>
        </w:rPr>
        <w:object w:dxaOrig="240" w:dyaOrig="220" w14:anchorId="4ACF9938">
          <v:shape id="_x0000_i1034" type="#_x0000_t75" alt="" style="width:12pt;height:10.5pt;mso-width-percent:0;mso-height-percent:0;mso-width-percent:0;mso-height-percent:0" o:ole="">
            <v:imagedata r:id="rId29" o:title=""/>
          </v:shape>
          <o:OLEObject Type="Embed" ProgID="Equation.3" ShapeID="_x0000_i1034" DrawAspect="Content" ObjectID="_1666620794" r:id="rId30"/>
        </w:object>
      </w:r>
      <w:r w:rsidR="0081485E">
        <w:rPr>
          <w:lang w:val="en-GB"/>
        </w:rPr>
        <w:t xml:space="preserve"> = 0.1 (r</w:t>
      </w:r>
      <w:r w:rsidR="0081485E" w:rsidRPr="0081485E">
        <w:rPr>
          <w:lang w:val="en-GB"/>
        </w:rPr>
        <w:t>adial entrainment coefficient</w:t>
      </w:r>
      <w:r w:rsidR="0081485E">
        <w:rPr>
          <w:lang w:val="en-GB"/>
        </w:rPr>
        <w:t xml:space="preserve">) and </w:t>
      </w:r>
      <w:r w:rsidR="006633D4" w:rsidRPr="0081485E">
        <w:rPr>
          <w:noProof/>
          <w:position w:val="-10"/>
        </w:rPr>
        <w:object w:dxaOrig="240" w:dyaOrig="320" w14:anchorId="1935CFF7">
          <v:shape id="_x0000_i1035" type="#_x0000_t75" alt="" style="width:12pt;height:15.75pt;mso-width-percent:0;mso-height-percent:0;mso-width-percent:0;mso-height-percent:0" o:ole="">
            <v:imagedata r:id="rId31" o:title=""/>
          </v:shape>
          <o:OLEObject Type="Embed" ProgID="Equation.3" ShapeID="_x0000_i1035" DrawAspect="Content" ObjectID="_1666620795" r:id="rId32"/>
        </w:object>
      </w:r>
      <w:r w:rsidR="0081485E">
        <w:rPr>
          <w:lang w:val="en-GB"/>
        </w:rPr>
        <w:t xml:space="preserve"> = 0.5 (wind</w:t>
      </w:r>
      <w:r w:rsidR="0081485E" w:rsidRPr="0081485E">
        <w:rPr>
          <w:lang w:val="en-GB"/>
        </w:rPr>
        <w:t xml:space="preserve"> entrainment coefficient</w:t>
      </w:r>
      <w:r w:rsidR="0081485E">
        <w:rPr>
          <w:lang w:val="en-GB"/>
        </w:rPr>
        <w:t>). Notice that the average wind speed along the plume (</w:t>
      </w:r>
      <w:r w:rsidR="006633D4" w:rsidRPr="00B2211A">
        <w:rPr>
          <w:noProof/>
          <w:position w:val="-6"/>
        </w:rPr>
        <w:object w:dxaOrig="200" w:dyaOrig="260" w14:anchorId="4077E94F">
          <v:shape id="_x0000_i1036" type="#_x0000_t75" alt="" style="width:9.75pt;height:12pt;mso-width-percent:0;mso-height-percent:0;mso-width-percent:0;mso-height-percent:0" o:ole="">
            <v:imagedata r:id="rId23" o:title=""/>
          </v:shape>
          <o:OLEObject Type="Embed" ProgID="Equation.3" ShapeID="_x0000_i1036" DrawAspect="Content" ObjectID="_1666620796" r:id="rId33"/>
        </w:object>
      </w:r>
      <w:r w:rsidR="0081485E" w:rsidRPr="0081485E">
        <w:rPr>
          <w:lang w:val="en-GB"/>
        </w:rPr>
        <w:t xml:space="preserve">) is smaller than the wind speed </w:t>
      </w:r>
      <w:r w:rsidR="00E00FE5">
        <w:rPr>
          <w:lang w:val="en-GB"/>
        </w:rPr>
        <w:t xml:space="preserve">that you have </w:t>
      </w:r>
      <w:r w:rsidR="0081485E" w:rsidRPr="0081485E">
        <w:rPr>
          <w:lang w:val="en-GB"/>
        </w:rPr>
        <w:t xml:space="preserve">derived with </w:t>
      </w:r>
      <w:r w:rsidR="0081485E">
        <w:rPr>
          <w:lang w:val="en-GB"/>
        </w:rPr>
        <w:t xml:space="preserve">the method of </w:t>
      </w:r>
      <w:r w:rsidR="00922DE2">
        <w:rPr>
          <w:lang w:val="en-GB"/>
        </w:rPr>
        <w:t>Rossi et al. (2018)</w:t>
      </w:r>
      <w:r w:rsidR="0081485E" w:rsidRPr="0081485E">
        <w:rPr>
          <w:lang w:val="en-GB"/>
        </w:rPr>
        <w:t>, which is the maximum wind speed at tropopause.</w:t>
      </w:r>
    </w:p>
    <w:p w14:paraId="480C0534" w14:textId="77777777" w:rsidR="00107017" w:rsidRDefault="00107017">
      <w:pPr>
        <w:rPr>
          <w:u w:val="single"/>
          <w:lang w:val="en-GB"/>
        </w:rPr>
      </w:pPr>
    </w:p>
    <w:p w14:paraId="1030779B" w14:textId="77777777" w:rsidR="0061021E" w:rsidRDefault="004D6D1B">
      <w:pPr>
        <w:rPr>
          <w:u w:val="single"/>
          <w:lang w:val="en-GB"/>
        </w:rPr>
      </w:pPr>
      <w:r>
        <w:rPr>
          <w:u w:val="single"/>
          <w:lang w:val="en-GB"/>
        </w:rPr>
        <w:t xml:space="preserve">Calculate the MER using </w:t>
      </w:r>
      <w:r w:rsidR="00411F3F">
        <w:rPr>
          <w:u w:val="single"/>
          <w:lang w:val="en-GB"/>
        </w:rPr>
        <w:t xml:space="preserve">the average value of plume height </w:t>
      </w:r>
      <w:r w:rsidR="0061021E" w:rsidRPr="0061021E">
        <w:rPr>
          <w:b/>
          <w:u w:val="single"/>
          <w:lang w:val="en-GB"/>
        </w:rPr>
        <w:t>above the vent</w:t>
      </w:r>
      <w:r w:rsidR="0061021E">
        <w:rPr>
          <w:u w:val="single"/>
          <w:lang w:val="en-GB"/>
        </w:rPr>
        <w:t xml:space="preserve"> </w:t>
      </w:r>
      <w:r w:rsidR="00411F3F">
        <w:rPr>
          <w:u w:val="single"/>
          <w:lang w:val="en-GB"/>
        </w:rPr>
        <w:t xml:space="preserve">obtained from previous exercise and </w:t>
      </w:r>
      <w:r>
        <w:rPr>
          <w:u w:val="single"/>
          <w:lang w:val="en-GB"/>
        </w:rPr>
        <w:t xml:space="preserve">the </w:t>
      </w:r>
      <w:r w:rsidR="00DE4C93">
        <w:rPr>
          <w:u w:val="single"/>
          <w:lang w:val="en-GB"/>
        </w:rPr>
        <w:t xml:space="preserve">three </w:t>
      </w:r>
      <w:r>
        <w:rPr>
          <w:u w:val="single"/>
          <w:lang w:val="en-GB"/>
        </w:rPr>
        <w:t xml:space="preserve">formulas 1), 2) and </w:t>
      </w:r>
      <w:r w:rsidR="00411F3F">
        <w:rPr>
          <w:u w:val="single"/>
          <w:lang w:val="en-GB"/>
        </w:rPr>
        <w:t>3). D</w:t>
      </w:r>
      <w:r>
        <w:rPr>
          <w:u w:val="single"/>
          <w:lang w:val="en-GB"/>
        </w:rPr>
        <w:t>iscuss the difference.</w:t>
      </w:r>
      <w:r w:rsidR="0061021E">
        <w:rPr>
          <w:u w:val="single"/>
          <w:lang w:val="en-GB"/>
        </w:rPr>
        <w:t xml:space="preserve"> </w:t>
      </w:r>
    </w:p>
    <w:p w14:paraId="2E693560" w14:textId="77777777" w:rsidR="00E00FE5" w:rsidRDefault="00E00FE5">
      <w:pPr>
        <w:rPr>
          <w:b/>
          <w:lang w:val="en-GB"/>
        </w:rPr>
      </w:pPr>
      <w:r>
        <w:rPr>
          <w:b/>
          <w:lang w:val="en-GB"/>
        </w:rPr>
        <w:br w:type="page"/>
      </w:r>
    </w:p>
    <w:p w14:paraId="153162F8" w14:textId="77777777" w:rsidR="00D724B1" w:rsidRDefault="00D724B1" w:rsidP="006F5789">
      <w:pPr>
        <w:spacing w:before="240"/>
        <w:rPr>
          <w:b/>
          <w:lang w:val="en-GB"/>
        </w:rPr>
      </w:pPr>
      <w:r>
        <w:rPr>
          <w:b/>
          <w:lang w:val="en-GB"/>
        </w:rPr>
        <w:lastRenderedPageBreak/>
        <w:t>PART II: Erupted volume</w:t>
      </w:r>
      <w:r w:rsidR="001B0C91">
        <w:rPr>
          <w:b/>
          <w:lang w:val="en-GB"/>
        </w:rPr>
        <w:t xml:space="preserve"> and eruption classification</w:t>
      </w:r>
    </w:p>
    <w:p w14:paraId="22AE7553" w14:textId="77777777" w:rsidR="00D724B1" w:rsidRDefault="005F39C2" w:rsidP="00D724B1">
      <w:pPr>
        <w:spacing w:after="0" w:line="240" w:lineRule="auto"/>
        <w:jc w:val="both"/>
        <w:rPr>
          <w:lang w:val="en-US"/>
        </w:rPr>
      </w:pPr>
      <w:r>
        <w:rPr>
          <w:b/>
          <w:u w:val="single"/>
          <w:lang w:val="en-US"/>
        </w:rPr>
        <w:t>Objective</w:t>
      </w:r>
      <w:r w:rsidR="00D724B1" w:rsidRPr="00D724B1">
        <w:rPr>
          <w:lang w:val="en-US"/>
        </w:rPr>
        <w:t>: determin</w:t>
      </w:r>
      <w:r w:rsidR="00D724B1">
        <w:rPr>
          <w:lang w:val="en-US"/>
        </w:rPr>
        <w:t>ation of</w:t>
      </w:r>
      <w:r w:rsidR="00D724B1" w:rsidRPr="00D724B1">
        <w:rPr>
          <w:lang w:val="en-US"/>
        </w:rPr>
        <w:t xml:space="preserve"> the </w:t>
      </w:r>
      <w:r w:rsidR="00D724B1" w:rsidRPr="00EE3960">
        <w:rPr>
          <w:u w:val="single"/>
          <w:lang w:val="en-US"/>
        </w:rPr>
        <w:t>volume of erupted tephra</w:t>
      </w:r>
      <w:r w:rsidR="00D724B1">
        <w:rPr>
          <w:lang w:val="en-US"/>
        </w:rPr>
        <w:t xml:space="preserve"> based on the method of Pyle (1989)</w:t>
      </w:r>
      <w:r w:rsidR="00521EAA">
        <w:rPr>
          <w:lang w:val="en-US"/>
        </w:rPr>
        <w:t xml:space="preserve"> and of Bonadonna and Houghton (2005)</w:t>
      </w:r>
      <w:r w:rsidR="000E178A">
        <w:rPr>
          <w:lang w:val="en-US"/>
        </w:rPr>
        <w:t xml:space="preserve"> and </w:t>
      </w:r>
      <w:r w:rsidR="000E178A" w:rsidRPr="000E178A">
        <w:rPr>
          <w:u w:val="single"/>
          <w:lang w:val="en-US"/>
        </w:rPr>
        <w:t>classification of the eruption</w:t>
      </w:r>
      <w:r w:rsidR="000E178A">
        <w:rPr>
          <w:lang w:val="en-US"/>
        </w:rPr>
        <w:t xml:space="preserve"> using the method of Pyle (1989)</w:t>
      </w:r>
    </w:p>
    <w:p w14:paraId="19D7B198" w14:textId="77777777" w:rsidR="00521EAA" w:rsidRPr="00D724B1" w:rsidRDefault="00521EAA" w:rsidP="00D724B1">
      <w:pPr>
        <w:spacing w:after="0" w:line="240" w:lineRule="auto"/>
        <w:jc w:val="both"/>
        <w:rPr>
          <w:lang w:val="en-US"/>
        </w:rPr>
      </w:pPr>
    </w:p>
    <w:p w14:paraId="02C4CFCA" w14:textId="77777777" w:rsidR="00521EAA" w:rsidRDefault="00521EAA" w:rsidP="00521EAA">
      <w:pPr>
        <w:rPr>
          <w:lang w:val="en-GB"/>
        </w:rPr>
      </w:pPr>
      <w:r w:rsidRPr="00521EAA">
        <w:rPr>
          <w:b/>
          <w:lang w:val="en-GB"/>
        </w:rPr>
        <w:t>1.</w:t>
      </w:r>
      <w:r>
        <w:rPr>
          <w:lang w:val="en-GB"/>
        </w:rPr>
        <w:t xml:space="preserve"> </w:t>
      </w:r>
      <w:r w:rsidRPr="00521EAA">
        <w:rPr>
          <w:lang w:val="en-GB"/>
        </w:rPr>
        <w:t>Several approaches exist for the calculation of the volume. Here you will use the exponential method with one segment (Pyle 1989) and the power-law method (Bonadonna and Houghton 2005). Figure 2 shows the isopach map for Layer 3, and figure 3 shows the area</w:t>
      </w:r>
      <w:r w:rsidRPr="00521EAA">
        <w:rPr>
          <w:vertAlign w:val="superscript"/>
          <w:lang w:val="en-GB"/>
        </w:rPr>
        <w:t>1/2</w:t>
      </w:r>
      <w:r w:rsidRPr="00521EAA">
        <w:rPr>
          <w:lang w:val="en-GB"/>
        </w:rPr>
        <w:t xml:space="preserve"> vs. thickness plot, with the fits of the different approaches.</w:t>
      </w:r>
    </w:p>
    <w:p w14:paraId="53643B5E" w14:textId="77777777" w:rsidR="00AC6962" w:rsidRPr="00521EAA" w:rsidRDefault="00E00FE5" w:rsidP="00521EAA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3E467A" wp14:editId="17229ACD">
            <wp:simplePos x="0" y="0"/>
            <wp:positionH relativeFrom="column">
              <wp:posOffset>1669415</wp:posOffset>
            </wp:positionH>
            <wp:positionV relativeFrom="paragraph">
              <wp:posOffset>74930</wp:posOffset>
            </wp:positionV>
            <wp:extent cx="2707005" cy="2130425"/>
            <wp:effectExtent l="0" t="0" r="0" b="3175"/>
            <wp:wrapTight wrapText="bothSides">
              <wp:wrapPolygon edited="0">
                <wp:start x="0" y="0"/>
                <wp:lineTo x="0" y="21439"/>
                <wp:lineTo x="21433" y="21439"/>
                <wp:lineTo x="21433" y="0"/>
                <wp:lineTo x="0" y="0"/>
              </wp:wrapPolygon>
            </wp:wrapTight>
            <wp:docPr id="3" name="Picture 2" descr="laye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er3.jp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66DD3" w14:textId="77777777" w:rsidR="00521EAA" w:rsidRPr="00656196" w:rsidRDefault="00521EAA" w:rsidP="00521EAA">
      <w:pPr>
        <w:jc w:val="center"/>
        <w:rPr>
          <w:lang w:val="en-US"/>
        </w:rPr>
      </w:pPr>
    </w:p>
    <w:p w14:paraId="73F01EFA" w14:textId="77777777" w:rsidR="00656196" w:rsidRDefault="00656196" w:rsidP="00521EAA">
      <w:pPr>
        <w:jc w:val="center"/>
        <w:rPr>
          <w:b/>
          <w:i/>
          <w:sz w:val="16"/>
          <w:szCs w:val="16"/>
          <w:lang w:val="en-GB"/>
        </w:rPr>
      </w:pPr>
    </w:p>
    <w:p w14:paraId="5DE1492A" w14:textId="77777777" w:rsidR="00656196" w:rsidRDefault="00656196" w:rsidP="00521EAA">
      <w:pPr>
        <w:jc w:val="center"/>
        <w:rPr>
          <w:b/>
          <w:i/>
          <w:sz w:val="16"/>
          <w:szCs w:val="16"/>
          <w:lang w:val="en-GB"/>
        </w:rPr>
      </w:pPr>
    </w:p>
    <w:p w14:paraId="26C0C346" w14:textId="77777777" w:rsidR="00656196" w:rsidRDefault="00656196" w:rsidP="00521EAA">
      <w:pPr>
        <w:jc w:val="center"/>
        <w:rPr>
          <w:b/>
          <w:i/>
          <w:sz w:val="16"/>
          <w:szCs w:val="16"/>
          <w:lang w:val="en-GB"/>
        </w:rPr>
      </w:pPr>
    </w:p>
    <w:p w14:paraId="4C10274D" w14:textId="77777777" w:rsidR="00E00FE5" w:rsidRDefault="00E00FE5" w:rsidP="00521EAA">
      <w:pPr>
        <w:jc w:val="center"/>
        <w:rPr>
          <w:b/>
          <w:i/>
          <w:sz w:val="16"/>
          <w:szCs w:val="16"/>
          <w:lang w:val="en-GB"/>
        </w:rPr>
      </w:pPr>
    </w:p>
    <w:p w14:paraId="22C08AC5" w14:textId="77777777" w:rsidR="00E00FE5" w:rsidRDefault="00E00FE5" w:rsidP="00521EAA">
      <w:pPr>
        <w:jc w:val="center"/>
        <w:rPr>
          <w:b/>
          <w:i/>
          <w:sz w:val="16"/>
          <w:szCs w:val="16"/>
          <w:lang w:val="en-GB"/>
        </w:rPr>
      </w:pPr>
    </w:p>
    <w:p w14:paraId="4F985A38" w14:textId="77777777" w:rsidR="00E00FE5" w:rsidRDefault="00E00FE5" w:rsidP="00521EAA">
      <w:pPr>
        <w:jc w:val="center"/>
        <w:rPr>
          <w:b/>
          <w:i/>
          <w:sz w:val="16"/>
          <w:szCs w:val="16"/>
          <w:lang w:val="en-GB"/>
        </w:rPr>
      </w:pPr>
    </w:p>
    <w:p w14:paraId="22C9E818" w14:textId="77777777" w:rsidR="00521EAA" w:rsidRDefault="00521EAA" w:rsidP="00521EAA">
      <w:pPr>
        <w:jc w:val="center"/>
        <w:rPr>
          <w:i/>
          <w:sz w:val="16"/>
          <w:szCs w:val="16"/>
          <w:lang w:val="en-GB"/>
        </w:rPr>
      </w:pPr>
      <w:r w:rsidRPr="00521EAA">
        <w:rPr>
          <w:b/>
          <w:i/>
          <w:sz w:val="16"/>
          <w:szCs w:val="16"/>
          <w:lang w:val="en-GB"/>
        </w:rPr>
        <w:t>Figure 2:</w:t>
      </w:r>
      <w:r w:rsidRPr="00521EAA">
        <w:rPr>
          <w:i/>
          <w:sz w:val="16"/>
          <w:szCs w:val="16"/>
          <w:lang w:val="en-GB"/>
        </w:rPr>
        <w:t xml:space="preserve"> Isopach map (cm) for Layer 3.</w:t>
      </w:r>
    </w:p>
    <w:p w14:paraId="36D99AB7" w14:textId="77777777" w:rsidR="00521EAA" w:rsidRDefault="00521EAA" w:rsidP="00521EAA">
      <w:pPr>
        <w:jc w:val="center"/>
      </w:pPr>
      <w:r w:rsidRPr="00230257">
        <w:rPr>
          <w:noProof/>
        </w:rPr>
        <w:drawing>
          <wp:inline distT="0" distB="0" distL="0" distR="0" wp14:anchorId="25997434" wp14:editId="0B0BBE8B">
            <wp:extent cx="3657600" cy="2496710"/>
            <wp:effectExtent l="0" t="0" r="0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55112895" w14:textId="77777777" w:rsidR="00521EAA" w:rsidRPr="00521EAA" w:rsidRDefault="00521EAA" w:rsidP="00521EAA">
      <w:pPr>
        <w:jc w:val="center"/>
        <w:rPr>
          <w:i/>
          <w:sz w:val="16"/>
          <w:szCs w:val="16"/>
          <w:lang w:val="en-GB"/>
        </w:rPr>
      </w:pPr>
      <w:r w:rsidRPr="00521EAA">
        <w:rPr>
          <w:b/>
          <w:i/>
          <w:sz w:val="16"/>
          <w:szCs w:val="16"/>
          <w:lang w:val="en-GB"/>
        </w:rPr>
        <w:t>Figure 3:</w:t>
      </w:r>
      <w:r w:rsidRPr="00521EAA">
        <w:rPr>
          <w:i/>
          <w:sz w:val="16"/>
          <w:szCs w:val="16"/>
          <w:lang w:val="en-GB"/>
        </w:rPr>
        <w:t xml:space="preserve"> Thickness vs. square root of area.</w:t>
      </w:r>
    </w:p>
    <w:p w14:paraId="0E4ECE9F" w14:textId="77777777" w:rsidR="00E00FE5" w:rsidRDefault="00E00FE5" w:rsidP="00AC6962">
      <w:pPr>
        <w:rPr>
          <w:i/>
          <w:u w:val="single"/>
          <w:lang w:val="en-GB"/>
        </w:rPr>
      </w:pPr>
    </w:p>
    <w:p w14:paraId="00597239" w14:textId="77777777" w:rsidR="00AC6962" w:rsidRPr="00521EAA" w:rsidRDefault="00AC6962" w:rsidP="00AC6962">
      <w:pPr>
        <w:rPr>
          <w:i/>
          <w:lang w:val="en-GB"/>
        </w:rPr>
      </w:pPr>
      <w:r w:rsidRPr="0003747E">
        <w:rPr>
          <w:i/>
          <w:u w:val="single"/>
          <w:lang w:val="en-GB"/>
        </w:rPr>
        <w:t>Exponential method</w:t>
      </w:r>
      <w:r w:rsidRPr="00521EAA">
        <w:rPr>
          <w:i/>
          <w:lang w:val="en-GB"/>
        </w:rPr>
        <w:t>, 1 segment</w:t>
      </w:r>
      <w:r>
        <w:rPr>
          <w:i/>
          <w:lang w:val="en-GB"/>
        </w:rPr>
        <w:t xml:space="preserve"> (Pyle 1989)</w:t>
      </w:r>
    </w:p>
    <w:p w14:paraId="027F9AA0" w14:textId="77777777" w:rsidR="00E00FE5" w:rsidRPr="00521EAA" w:rsidRDefault="00E00FE5" w:rsidP="00E00FE5">
      <w:pPr>
        <w:jc w:val="both"/>
        <w:rPr>
          <w:lang w:val="en-GB"/>
        </w:rPr>
      </w:pPr>
      <w:r w:rsidRPr="00521EAA">
        <w:rPr>
          <w:lang w:val="en-GB"/>
        </w:rPr>
        <w:t xml:space="preserve">The </w:t>
      </w:r>
      <w:r>
        <w:rPr>
          <w:lang w:val="en-GB"/>
        </w:rPr>
        <w:t>exponential</w:t>
      </w:r>
      <w:r w:rsidRPr="00521EAA">
        <w:rPr>
          <w:lang w:val="en-GB"/>
        </w:rPr>
        <w:t xml:space="preserve"> fit can be described by the following equation:</w:t>
      </w:r>
    </w:p>
    <w:p w14:paraId="745B9C27" w14:textId="77777777" w:rsidR="00E00FE5" w:rsidRDefault="006633D4" w:rsidP="00E00FE5">
      <w:pPr>
        <w:spacing w:line="360" w:lineRule="auto"/>
        <w:ind w:right="-1" w:firstLine="567"/>
        <w:jc w:val="both"/>
        <w:rPr>
          <w:lang w:val="en-GB"/>
        </w:rPr>
      </w:pPr>
      <w:r w:rsidRPr="00E00FE5">
        <w:rPr>
          <w:noProof/>
          <w:position w:val="-12"/>
        </w:rPr>
        <w:object w:dxaOrig="1540" w:dyaOrig="420" w14:anchorId="5C999131">
          <v:shape id="_x0000_i1037" type="#_x0000_t75" alt="" style="width:77.25pt;height:21pt;mso-width-percent:0;mso-height-percent:0;mso-width-percent:0;mso-height-percent:0" o:ole="" fillcolor="window">
            <v:imagedata r:id="rId36" o:title=""/>
          </v:shape>
          <o:OLEObject Type="Embed" ProgID="Equation.3" ShapeID="_x0000_i1037" DrawAspect="Content" ObjectID="_1666620797" r:id="rId37"/>
        </w:object>
      </w:r>
      <w:r w:rsidR="00E00FE5" w:rsidRPr="00521EAA">
        <w:rPr>
          <w:lang w:val="en-GB"/>
        </w:rPr>
        <w:tab/>
      </w:r>
      <w:r w:rsidR="00E00FE5" w:rsidRPr="00521EAA">
        <w:rPr>
          <w:lang w:val="en-GB"/>
        </w:rPr>
        <w:tab/>
      </w:r>
      <w:r w:rsidR="00107017">
        <w:rPr>
          <w:lang w:val="en-GB"/>
        </w:rPr>
        <w:tab/>
      </w:r>
      <w:r w:rsidR="00107017">
        <w:rPr>
          <w:lang w:val="en-GB"/>
        </w:rPr>
        <w:tab/>
      </w:r>
      <w:r w:rsidR="00107017">
        <w:rPr>
          <w:lang w:val="en-GB"/>
        </w:rPr>
        <w:tab/>
      </w:r>
      <w:r w:rsidR="00107017">
        <w:rPr>
          <w:lang w:val="en-GB"/>
        </w:rPr>
        <w:tab/>
      </w:r>
      <w:r w:rsidR="00107017">
        <w:rPr>
          <w:lang w:val="en-GB"/>
        </w:rPr>
        <w:tab/>
      </w:r>
      <w:r w:rsidR="00107017">
        <w:rPr>
          <w:lang w:val="en-GB"/>
        </w:rPr>
        <w:tab/>
      </w:r>
      <w:r w:rsidR="00107017">
        <w:rPr>
          <w:lang w:val="en-GB"/>
        </w:rPr>
        <w:tab/>
      </w:r>
      <w:r w:rsidR="00107017">
        <w:rPr>
          <w:lang w:val="en-GB"/>
        </w:rPr>
        <w:tab/>
      </w:r>
      <w:r w:rsidR="00107017" w:rsidRPr="00521EAA">
        <w:rPr>
          <w:lang w:val="en-GB"/>
        </w:rPr>
        <w:t>(</w:t>
      </w:r>
      <w:r w:rsidR="00107017">
        <w:rPr>
          <w:lang w:val="en-GB"/>
        </w:rPr>
        <w:t>4</w:t>
      </w:r>
      <w:r w:rsidR="00107017" w:rsidRPr="00521EAA">
        <w:rPr>
          <w:lang w:val="en-GB"/>
        </w:rPr>
        <w:t>)</w:t>
      </w:r>
    </w:p>
    <w:p w14:paraId="79827CF0" w14:textId="77777777" w:rsidR="00E00FE5" w:rsidRPr="00521EAA" w:rsidRDefault="00E00FE5" w:rsidP="00107017">
      <w:pPr>
        <w:tabs>
          <w:tab w:val="left" w:pos="3281"/>
        </w:tabs>
        <w:spacing w:line="360" w:lineRule="auto"/>
        <w:ind w:right="-1"/>
        <w:jc w:val="both"/>
        <w:rPr>
          <w:lang w:val="en-GB"/>
        </w:rPr>
      </w:pPr>
      <w:r w:rsidRPr="00521EAA">
        <w:rPr>
          <w:lang w:val="en-GB"/>
        </w:rPr>
        <w:lastRenderedPageBreak/>
        <w:t>The expression of the volume integral is given by:</w:t>
      </w:r>
    </w:p>
    <w:p w14:paraId="1DFFFC0D" w14:textId="77777777" w:rsidR="00AC6962" w:rsidRPr="00521EAA" w:rsidRDefault="006633D4" w:rsidP="00E00FE5">
      <w:pPr>
        <w:spacing w:line="360" w:lineRule="auto"/>
        <w:ind w:right="-1" w:firstLine="567"/>
        <w:jc w:val="both"/>
        <w:rPr>
          <w:lang w:val="en-GB"/>
        </w:rPr>
      </w:pPr>
      <w:r w:rsidRPr="007B0400">
        <w:rPr>
          <w:noProof/>
          <w:position w:val="-12"/>
        </w:rPr>
        <w:object w:dxaOrig="1980" w:dyaOrig="380" w14:anchorId="0A63F592">
          <v:shape id="_x0000_i1038" type="#_x0000_t75" alt="" style="width:98.25pt;height:19.5pt;mso-width-percent:0;mso-height-percent:0;mso-width-percent:0;mso-height-percent:0" o:ole="" fillcolor="window">
            <v:imagedata r:id="rId38" o:title=""/>
          </v:shape>
          <o:OLEObject Type="Embed" ProgID="Equation.3" ShapeID="_x0000_i1038" DrawAspect="Content" ObjectID="_1666620798" r:id="rId39"/>
        </w:object>
      </w:r>
      <w:r w:rsidR="00AC6962" w:rsidRPr="00521EAA">
        <w:rPr>
          <w:lang w:val="en-GB"/>
        </w:rPr>
        <w:t>,</w:t>
      </w:r>
      <w:r w:rsidR="00AC6962" w:rsidRPr="00521EAA">
        <w:rPr>
          <w:lang w:val="en-GB"/>
        </w:rPr>
        <w:tab/>
      </w:r>
      <w:r w:rsidR="00AC6962" w:rsidRPr="00521EAA">
        <w:rPr>
          <w:lang w:val="en-GB"/>
        </w:rPr>
        <w:tab/>
      </w:r>
      <w:r w:rsidR="00AC6962" w:rsidRPr="00521EAA">
        <w:rPr>
          <w:lang w:val="en-GB"/>
        </w:rPr>
        <w:tab/>
      </w:r>
      <w:r w:rsidR="00AC6962" w:rsidRPr="00521EAA">
        <w:rPr>
          <w:lang w:val="en-GB"/>
        </w:rPr>
        <w:tab/>
      </w:r>
      <w:r w:rsidR="00AC6962" w:rsidRPr="00521EAA">
        <w:rPr>
          <w:lang w:val="en-GB"/>
        </w:rPr>
        <w:tab/>
      </w:r>
      <w:r w:rsidR="00AC6962" w:rsidRPr="00521EAA">
        <w:rPr>
          <w:lang w:val="en-GB"/>
        </w:rPr>
        <w:tab/>
      </w:r>
      <w:r w:rsidR="00AC6962" w:rsidRPr="00521EAA">
        <w:rPr>
          <w:lang w:val="en-GB"/>
        </w:rPr>
        <w:tab/>
      </w:r>
      <w:r w:rsidR="00AC6962" w:rsidRPr="00521EAA">
        <w:rPr>
          <w:lang w:val="en-GB"/>
        </w:rPr>
        <w:tab/>
      </w:r>
      <w:r w:rsidR="00AC6962" w:rsidRPr="00521EAA">
        <w:rPr>
          <w:lang w:val="en-GB"/>
        </w:rPr>
        <w:tab/>
        <w:t>(</w:t>
      </w:r>
      <w:r w:rsidR="00107017">
        <w:rPr>
          <w:lang w:val="en-GB"/>
        </w:rPr>
        <w:t>5</w:t>
      </w:r>
      <w:r w:rsidR="00AC6962" w:rsidRPr="00521EAA">
        <w:rPr>
          <w:lang w:val="en-GB"/>
        </w:rPr>
        <w:t>)</w:t>
      </w:r>
    </w:p>
    <w:p w14:paraId="007531C1" w14:textId="77777777" w:rsidR="00AC6962" w:rsidRPr="00521EAA" w:rsidRDefault="00AC6962" w:rsidP="00AC6962">
      <w:pPr>
        <w:jc w:val="both"/>
        <w:rPr>
          <w:lang w:val="en-GB"/>
        </w:rPr>
      </w:pPr>
      <w:r w:rsidRPr="00521EAA">
        <w:rPr>
          <w:lang w:val="en-GB"/>
        </w:rPr>
        <w:t xml:space="preserve">where </w:t>
      </w:r>
      <w:r w:rsidRPr="00521EAA">
        <w:rPr>
          <w:i/>
          <w:lang w:val="en-GB"/>
        </w:rPr>
        <w:t>T</w:t>
      </w:r>
      <w:r w:rsidRPr="00521EAA">
        <w:rPr>
          <w:i/>
          <w:vertAlign w:val="subscript"/>
          <w:lang w:val="en-GB"/>
        </w:rPr>
        <w:t>0</w:t>
      </w:r>
      <w:r w:rsidRPr="00521EAA">
        <w:rPr>
          <w:lang w:val="en-GB"/>
        </w:rPr>
        <w:t xml:space="preserve"> and </w:t>
      </w:r>
      <w:r w:rsidRPr="00521EAA">
        <w:rPr>
          <w:i/>
          <w:lang w:val="en-GB"/>
        </w:rPr>
        <w:t>b</w:t>
      </w:r>
      <w:r w:rsidRPr="00521EAA">
        <w:rPr>
          <w:i/>
          <w:vertAlign w:val="subscript"/>
          <w:lang w:val="en-GB"/>
        </w:rPr>
        <w:t>t</w:t>
      </w:r>
      <w:r w:rsidRPr="00521EAA">
        <w:rPr>
          <w:lang w:val="en-GB"/>
        </w:rPr>
        <w:t xml:space="preserve"> are the maximum thickness (intercept) and half-distance thickness respectively, with:</w:t>
      </w:r>
    </w:p>
    <w:p w14:paraId="2B0260FA" w14:textId="77777777" w:rsidR="00AC6962" w:rsidRPr="00521EAA" w:rsidRDefault="006633D4" w:rsidP="00AC6962">
      <w:pPr>
        <w:spacing w:line="360" w:lineRule="auto"/>
        <w:ind w:right="-1" w:firstLine="567"/>
        <w:jc w:val="both"/>
        <w:rPr>
          <w:lang w:val="en-GB"/>
        </w:rPr>
      </w:pPr>
      <w:r w:rsidRPr="007B0400">
        <w:rPr>
          <w:noProof/>
          <w:position w:val="-28"/>
        </w:rPr>
        <w:object w:dxaOrig="1020" w:dyaOrig="660" w14:anchorId="37D0A3AD">
          <v:shape id="_x0000_i1039" type="#_x0000_t75" alt="" style="width:51.75pt;height:32.25pt;mso-width-percent:0;mso-height-percent:0;mso-width-percent:0;mso-height-percent:0" o:ole="" fillcolor="window">
            <v:imagedata r:id="rId40" o:title=""/>
          </v:shape>
          <o:OLEObject Type="Embed" ProgID="Equation.3" ShapeID="_x0000_i1039" DrawAspect="Content" ObjectID="_1666620799" r:id="rId41"/>
        </w:object>
      </w:r>
      <w:r w:rsidR="00AC6962" w:rsidRPr="00521EAA">
        <w:rPr>
          <w:lang w:val="en-GB"/>
        </w:rPr>
        <w:t>,</w:t>
      </w:r>
      <w:r w:rsidR="00AC6962" w:rsidRPr="00521EAA">
        <w:rPr>
          <w:lang w:val="en-GB"/>
        </w:rPr>
        <w:tab/>
      </w:r>
      <w:r w:rsidR="00AC6962" w:rsidRPr="00521EAA">
        <w:rPr>
          <w:lang w:val="en-GB"/>
        </w:rPr>
        <w:tab/>
      </w:r>
      <w:r w:rsidR="00AC6962" w:rsidRPr="00521EAA">
        <w:rPr>
          <w:lang w:val="en-GB"/>
        </w:rPr>
        <w:tab/>
      </w:r>
      <w:r w:rsidR="00AC6962" w:rsidRPr="00521EAA">
        <w:rPr>
          <w:lang w:val="en-GB"/>
        </w:rPr>
        <w:tab/>
      </w:r>
      <w:r w:rsidR="00AC6962" w:rsidRPr="00521EAA">
        <w:rPr>
          <w:lang w:val="en-GB"/>
        </w:rPr>
        <w:tab/>
      </w:r>
      <w:r w:rsidR="00AC6962" w:rsidRPr="00521EAA">
        <w:rPr>
          <w:lang w:val="en-GB"/>
        </w:rPr>
        <w:tab/>
      </w:r>
      <w:r w:rsidR="00AC6962" w:rsidRPr="00521EAA">
        <w:rPr>
          <w:lang w:val="en-GB"/>
        </w:rPr>
        <w:tab/>
      </w:r>
      <w:r w:rsidR="00AC6962" w:rsidRPr="00521EAA">
        <w:rPr>
          <w:lang w:val="en-GB"/>
        </w:rPr>
        <w:tab/>
      </w:r>
      <w:r w:rsidR="00AC6962" w:rsidRPr="00521EAA">
        <w:rPr>
          <w:lang w:val="en-GB"/>
        </w:rPr>
        <w:tab/>
      </w:r>
      <w:r w:rsidR="00AC6962" w:rsidRPr="00521EAA">
        <w:rPr>
          <w:lang w:val="en-GB"/>
        </w:rPr>
        <w:tab/>
        <w:t>(</w:t>
      </w:r>
      <w:r w:rsidR="00107017">
        <w:rPr>
          <w:lang w:val="en-GB"/>
        </w:rPr>
        <w:t>6</w:t>
      </w:r>
      <w:r w:rsidR="00AC6962" w:rsidRPr="00521EAA">
        <w:rPr>
          <w:lang w:val="en-GB"/>
        </w:rPr>
        <w:t>)</w:t>
      </w:r>
    </w:p>
    <w:p w14:paraId="154F2294" w14:textId="77777777" w:rsidR="00AC6962" w:rsidRDefault="00AC6962" w:rsidP="00AC6962">
      <w:pPr>
        <w:jc w:val="both"/>
        <w:rPr>
          <w:lang w:val="en-GB"/>
        </w:rPr>
      </w:pPr>
      <w:r w:rsidRPr="00521EAA">
        <w:rPr>
          <w:lang w:val="en-GB"/>
        </w:rPr>
        <w:t xml:space="preserve">where </w:t>
      </w:r>
      <w:r w:rsidRPr="00521EAA">
        <w:rPr>
          <w:i/>
          <w:lang w:val="en-GB"/>
        </w:rPr>
        <w:t>-k</w:t>
      </w:r>
      <w:r w:rsidRPr="00521EAA">
        <w:rPr>
          <w:lang w:val="en-GB"/>
        </w:rPr>
        <w:t xml:space="preserve"> i</w:t>
      </w:r>
      <w:r w:rsidR="00214CF8">
        <w:rPr>
          <w:lang w:val="en-GB"/>
        </w:rPr>
        <w:t>s the slope of the line segment (i.e. exponent of the equation for the exponential best fit)</w:t>
      </w:r>
      <w:r w:rsidR="00E24131">
        <w:rPr>
          <w:lang w:val="en-GB"/>
        </w:rPr>
        <w:t>. k is a positive value.</w:t>
      </w:r>
    </w:p>
    <w:p w14:paraId="17EE38E2" w14:textId="77777777" w:rsidR="00AC6962" w:rsidRPr="00521EAA" w:rsidRDefault="00AC6962" w:rsidP="00107017">
      <w:pPr>
        <w:tabs>
          <w:tab w:val="left" w:pos="1177"/>
        </w:tabs>
        <w:rPr>
          <w:i/>
          <w:lang w:val="en-GB"/>
        </w:rPr>
      </w:pPr>
      <w:r w:rsidRPr="0003747E">
        <w:rPr>
          <w:i/>
          <w:u w:val="single"/>
          <w:lang w:val="en-GB"/>
        </w:rPr>
        <w:t>Power-law method</w:t>
      </w:r>
      <w:r>
        <w:rPr>
          <w:i/>
          <w:lang w:val="en-GB"/>
        </w:rPr>
        <w:t xml:space="preserve"> (Bonadonna and Houghton 2005)</w:t>
      </w:r>
    </w:p>
    <w:p w14:paraId="2908FF45" w14:textId="77777777" w:rsidR="00AC6962" w:rsidRPr="00521EAA" w:rsidRDefault="00AC6962" w:rsidP="00AC6962">
      <w:pPr>
        <w:jc w:val="both"/>
        <w:rPr>
          <w:lang w:val="en-GB"/>
        </w:rPr>
      </w:pPr>
      <w:r w:rsidRPr="00521EAA">
        <w:rPr>
          <w:lang w:val="en-GB"/>
        </w:rPr>
        <w:t>The Power-Law fit can be described by the following equation:</w:t>
      </w:r>
    </w:p>
    <w:p w14:paraId="5935CEFF" w14:textId="77777777" w:rsidR="00AC6962" w:rsidRPr="00521EAA" w:rsidRDefault="006633D4" w:rsidP="00AC6962">
      <w:pPr>
        <w:spacing w:line="360" w:lineRule="auto"/>
        <w:ind w:right="-1" w:firstLine="567"/>
        <w:jc w:val="both"/>
        <w:rPr>
          <w:lang w:val="en-GB"/>
        </w:rPr>
      </w:pPr>
      <w:r w:rsidRPr="004535C7">
        <w:rPr>
          <w:noProof/>
          <w:position w:val="-14"/>
        </w:rPr>
        <w:object w:dxaOrig="1420" w:dyaOrig="480" w14:anchorId="5A24022E">
          <v:shape id="_x0000_i1040" type="#_x0000_t75" alt="" style="width:71.25pt;height:24pt;mso-width-percent:0;mso-height-percent:0;mso-width-percent:0;mso-height-percent:0" o:ole="" fillcolor="window">
            <v:imagedata r:id="rId42" o:title=""/>
          </v:shape>
          <o:OLEObject Type="Embed" ProgID="Equation.3" ShapeID="_x0000_i1040" DrawAspect="Content" ObjectID="_1666620800" r:id="rId43"/>
        </w:object>
      </w:r>
      <w:r w:rsidR="00AC6962" w:rsidRPr="00521EAA">
        <w:rPr>
          <w:lang w:val="en-GB"/>
        </w:rPr>
        <w:t>.</w:t>
      </w:r>
      <w:r w:rsidR="00AC6962" w:rsidRPr="00521EAA">
        <w:rPr>
          <w:lang w:val="en-GB"/>
        </w:rPr>
        <w:tab/>
      </w:r>
      <w:r w:rsidR="00AC6962" w:rsidRPr="00521EAA">
        <w:rPr>
          <w:lang w:val="en-GB"/>
        </w:rPr>
        <w:tab/>
      </w:r>
      <w:r w:rsidR="00AC6962" w:rsidRPr="00521EAA">
        <w:rPr>
          <w:lang w:val="en-GB"/>
        </w:rPr>
        <w:tab/>
      </w:r>
      <w:r w:rsidR="00AC6962" w:rsidRPr="00521EAA">
        <w:rPr>
          <w:lang w:val="en-GB"/>
        </w:rPr>
        <w:tab/>
      </w:r>
      <w:r w:rsidR="00AC6962" w:rsidRPr="00521EAA">
        <w:rPr>
          <w:lang w:val="en-GB"/>
        </w:rPr>
        <w:tab/>
      </w:r>
      <w:r w:rsidR="00AC6962" w:rsidRPr="00521EAA">
        <w:rPr>
          <w:lang w:val="en-GB"/>
        </w:rPr>
        <w:tab/>
      </w:r>
      <w:r w:rsidR="00AC6962" w:rsidRPr="00521EAA">
        <w:rPr>
          <w:lang w:val="en-GB"/>
        </w:rPr>
        <w:tab/>
      </w:r>
      <w:r w:rsidR="00AC6962" w:rsidRPr="00521EAA">
        <w:rPr>
          <w:lang w:val="en-GB"/>
        </w:rPr>
        <w:tab/>
      </w:r>
      <w:r w:rsidR="00AC6962" w:rsidRPr="00521EAA">
        <w:rPr>
          <w:lang w:val="en-GB"/>
        </w:rPr>
        <w:tab/>
      </w:r>
      <w:r w:rsidR="00AC6962" w:rsidRPr="00521EAA">
        <w:rPr>
          <w:lang w:val="en-GB"/>
        </w:rPr>
        <w:tab/>
        <w:t>(</w:t>
      </w:r>
      <w:r w:rsidR="00107017">
        <w:rPr>
          <w:lang w:val="en-GB"/>
        </w:rPr>
        <w:t>7</w:t>
      </w:r>
      <w:r w:rsidR="00AC6962" w:rsidRPr="00521EAA">
        <w:rPr>
          <w:lang w:val="en-GB"/>
        </w:rPr>
        <w:t>)</w:t>
      </w:r>
    </w:p>
    <w:p w14:paraId="0052F56E" w14:textId="77777777" w:rsidR="00AC6962" w:rsidRPr="00521EAA" w:rsidRDefault="00AC6962" w:rsidP="00AC6962">
      <w:pPr>
        <w:spacing w:line="360" w:lineRule="auto"/>
        <w:ind w:right="-1"/>
        <w:jc w:val="both"/>
        <w:rPr>
          <w:lang w:val="en-GB"/>
        </w:rPr>
      </w:pPr>
      <w:r w:rsidRPr="00521EAA">
        <w:rPr>
          <w:lang w:val="en-GB"/>
        </w:rPr>
        <w:t>The expression of the volume integral is given by:</w:t>
      </w:r>
    </w:p>
    <w:p w14:paraId="099E1E3C" w14:textId="77777777" w:rsidR="00AC6962" w:rsidRPr="00521EAA" w:rsidRDefault="006633D4" w:rsidP="00E24131">
      <w:pPr>
        <w:spacing w:after="120" w:line="360" w:lineRule="auto"/>
        <w:ind w:firstLine="567"/>
        <w:jc w:val="both"/>
        <w:rPr>
          <w:lang w:val="en-GB"/>
        </w:rPr>
      </w:pPr>
      <w:r w:rsidRPr="00051C9F">
        <w:rPr>
          <w:noProof/>
          <w:position w:val="-24"/>
        </w:rPr>
        <w:object w:dxaOrig="3100" w:dyaOrig="660" w14:anchorId="327492DA">
          <v:shape id="_x0000_i1041" type="#_x0000_t75" alt="" style="width:155.25pt;height:32.25pt;mso-width-percent:0;mso-height-percent:0;mso-width-percent:0;mso-height-percent:0" o:ole="" fillcolor="window">
            <v:imagedata r:id="rId44" o:title=""/>
          </v:shape>
          <o:OLEObject Type="Embed" ProgID="Equation.3" ShapeID="_x0000_i1041" DrawAspect="Content" ObjectID="_1666620801" r:id="rId45"/>
        </w:object>
      </w:r>
      <w:r w:rsidR="00AC6962" w:rsidRPr="00521EAA">
        <w:rPr>
          <w:lang w:val="en-GB"/>
        </w:rPr>
        <w:t xml:space="preserve">. </w:t>
      </w:r>
      <w:r w:rsidR="00AC6962" w:rsidRPr="00521EAA">
        <w:rPr>
          <w:lang w:val="en-GB"/>
        </w:rPr>
        <w:tab/>
      </w:r>
      <w:r w:rsidR="00AC6962" w:rsidRPr="00521EAA">
        <w:rPr>
          <w:lang w:val="en-GB"/>
        </w:rPr>
        <w:tab/>
      </w:r>
      <w:r w:rsidR="00AC6962" w:rsidRPr="00521EAA">
        <w:rPr>
          <w:lang w:val="en-GB"/>
        </w:rPr>
        <w:tab/>
      </w:r>
      <w:r w:rsidR="00AC6962" w:rsidRPr="00521EAA">
        <w:rPr>
          <w:lang w:val="en-GB"/>
        </w:rPr>
        <w:tab/>
      </w:r>
      <w:r w:rsidR="00AC6962" w:rsidRPr="00521EAA">
        <w:rPr>
          <w:lang w:val="en-GB"/>
        </w:rPr>
        <w:tab/>
      </w:r>
      <w:r w:rsidR="00AC6962" w:rsidRPr="00521EAA">
        <w:rPr>
          <w:lang w:val="en-GB"/>
        </w:rPr>
        <w:tab/>
      </w:r>
      <w:r w:rsidR="00AC6962" w:rsidRPr="00521EAA">
        <w:rPr>
          <w:lang w:val="en-GB"/>
        </w:rPr>
        <w:tab/>
        <w:t>(</w:t>
      </w:r>
      <w:r w:rsidR="00107017">
        <w:rPr>
          <w:lang w:val="en-GB"/>
        </w:rPr>
        <w:t>8</w:t>
      </w:r>
      <w:r w:rsidR="00AC6962" w:rsidRPr="00521EAA">
        <w:rPr>
          <w:lang w:val="en-GB"/>
        </w:rPr>
        <w:t>)</w:t>
      </w:r>
    </w:p>
    <w:p w14:paraId="11FA89CA" w14:textId="77777777" w:rsidR="00AC6962" w:rsidRDefault="00AC6962" w:rsidP="00AC6962">
      <w:pPr>
        <w:jc w:val="both"/>
        <w:rPr>
          <w:lang w:val="en-GB"/>
        </w:rPr>
      </w:pPr>
      <w:r w:rsidRPr="00521EAA">
        <w:rPr>
          <w:lang w:val="en-GB"/>
        </w:rPr>
        <w:t xml:space="preserve">where </w:t>
      </w:r>
      <w:r w:rsidR="006633D4" w:rsidRPr="004535C7">
        <w:rPr>
          <w:noProof/>
          <w:position w:val="-14"/>
        </w:rPr>
        <w:object w:dxaOrig="340" w:dyaOrig="380" w14:anchorId="3D327D80">
          <v:shape id="_x0000_i1042" type="#_x0000_t75" alt="" style="width:17.25pt;height:19.5pt;mso-width-percent:0;mso-height-percent:0;mso-width-percent:0;mso-height-percent:0" o:ole="" fillcolor="window">
            <v:imagedata r:id="rId46" o:title=""/>
          </v:shape>
          <o:OLEObject Type="Embed" ProgID="Equation.3" ShapeID="_x0000_i1042" DrawAspect="Content" ObjectID="_1666620802" r:id="rId47"/>
        </w:object>
      </w:r>
      <w:r w:rsidRPr="00521EAA">
        <w:rPr>
          <w:lang w:val="en-GB"/>
        </w:rPr>
        <w:t xml:space="preserve"> and </w:t>
      </w:r>
      <w:r w:rsidR="006633D4" w:rsidRPr="008C00EC">
        <w:rPr>
          <w:noProof/>
          <w:position w:val="-6"/>
        </w:rPr>
        <w:object w:dxaOrig="200" w:dyaOrig="279" w14:anchorId="55057C34">
          <v:shape id="_x0000_i1043" type="#_x0000_t75" alt="" style="width:9.75pt;height:14.25pt;mso-width-percent:0;mso-height-percent:0;mso-width-percent:0;mso-height-percent:0" o:ole="" fillcolor="window">
            <v:imagedata r:id="rId48" o:title=""/>
          </v:shape>
          <o:OLEObject Type="Embed" ProgID="Equation.3" ShapeID="_x0000_i1043" DrawAspect="Content" ObjectID="_1666620803" r:id="rId49"/>
        </w:object>
      </w:r>
      <w:r w:rsidRPr="00521EAA">
        <w:rPr>
          <w:lang w:val="en-GB"/>
        </w:rPr>
        <w:t xml:space="preserve"> are the power-law constant and exponent in Eq. (</w:t>
      </w:r>
      <w:r w:rsidR="00107017">
        <w:rPr>
          <w:lang w:val="en-GB"/>
        </w:rPr>
        <w:t>7</w:t>
      </w:r>
      <w:r w:rsidRPr="00521EAA">
        <w:rPr>
          <w:lang w:val="en-GB"/>
        </w:rPr>
        <w:t>). C and B are two constants of integration. Here, fix B to 4.6 km, and calculate the volumes with C = 100 km and C = 500 km.</w:t>
      </w:r>
    </w:p>
    <w:p w14:paraId="5384CFC2" w14:textId="77777777" w:rsidR="00214CF8" w:rsidRPr="0003747E" w:rsidRDefault="00214CF8" w:rsidP="00214CF8">
      <w:pPr>
        <w:rPr>
          <w:u w:val="single"/>
          <w:lang w:val="en-GB"/>
        </w:rPr>
      </w:pPr>
      <w:r>
        <w:rPr>
          <w:u w:val="single"/>
          <w:lang w:val="en-GB"/>
        </w:rPr>
        <w:t xml:space="preserve">Determine the volume </w:t>
      </w:r>
      <w:r w:rsidR="0011102F">
        <w:rPr>
          <w:u w:val="single"/>
          <w:lang w:val="en-GB"/>
        </w:rPr>
        <w:t>(in km</w:t>
      </w:r>
      <w:r w:rsidR="0011102F" w:rsidRPr="0011102F">
        <w:rPr>
          <w:u w:val="single"/>
          <w:vertAlign w:val="superscript"/>
          <w:lang w:val="en-GB"/>
        </w:rPr>
        <w:t>3</w:t>
      </w:r>
      <w:r w:rsidR="0011102F">
        <w:rPr>
          <w:u w:val="single"/>
          <w:lang w:val="en-GB"/>
        </w:rPr>
        <w:t xml:space="preserve">) </w:t>
      </w:r>
      <w:r>
        <w:rPr>
          <w:u w:val="single"/>
          <w:lang w:val="en-GB"/>
        </w:rPr>
        <w:t xml:space="preserve">using both the exponential method and the power-law method </w:t>
      </w:r>
      <w:r w:rsidR="00984A75">
        <w:rPr>
          <w:u w:val="single"/>
          <w:lang w:val="en-GB"/>
        </w:rPr>
        <w:t xml:space="preserve">                    </w:t>
      </w:r>
      <w:r w:rsidRPr="00984A75">
        <w:rPr>
          <w:lang w:val="en-GB"/>
        </w:rPr>
        <w:t>(</w:t>
      </w:r>
      <w:r w:rsidRPr="002A4486">
        <w:rPr>
          <w:color w:val="FF0000"/>
          <w:lang w:val="en-GB"/>
        </w:rPr>
        <w:t xml:space="preserve">be careful with units: you need to convert both To and Tpl </w:t>
      </w:r>
      <w:r w:rsidR="00CF5474" w:rsidRPr="002A4486">
        <w:rPr>
          <w:color w:val="FF0000"/>
          <w:lang w:val="en-GB"/>
        </w:rPr>
        <w:t>from “cm” to</w:t>
      </w:r>
      <w:r w:rsidRPr="002A4486">
        <w:rPr>
          <w:color w:val="FF0000"/>
          <w:lang w:val="en-GB"/>
        </w:rPr>
        <w:t xml:space="preserve"> </w:t>
      </w:r>
      <w:r w:rsidR="00CF5474" w:rsidRPr="002A4486">
        <w:rPr>
          <w:color w:val="FF0000"/>
          <w:lang w:val="en-GB"/>
        </w:rPr>
        <w:t>“</w:t>
      </w:r>
      <w:r w:rsidRPr="002A4486">
        <w:rPr>
          <w:color w:val="FF0000"/>
          <w:lang w:val="en-GB"/>
        </w:rPr>
        <w:t>km</w:t>
      </w:r>
      <w:r w:rsidR="00CF5474" w:rsidRPr="002A4486">
        <w:rPr>
          <w:color w:val="FF0000"/>
          <w:lang w:val="en-GB"/>
        </w:rPr>
        <w:t>”</w:t>
      </w:r>
      <w:r w:rsidRPr="002A4486">
        <w:rPr>
          <w:color w:val="FF0000"/>
          <w:lang w:val="en-GB"/>
        </w:rPr>
        <w:t>!</w:t>
      </w:r>
      <w:r w:rsidRPr="00984A75">
        <w:rPr>
          <w:lang w:val="en-GB"/>
        </w:rPr>
        <w:t>)</w:t>
      </w:r>
      <w:bookmarkStart w:id="0" w:name="_GoBack"/>
      <w:bookmarkEnd w:id="0"/>
    </w:p>
    <w:p w14:paraId="292317B6" w14:textId="77777777" w:rsidR="00521EAA" w:rsidRPr="00521EAA" w:rsidRDefault="00521EAA" w:rsidP="00521EAA">
      <w:pPr>
        <w:rPr>
          <w:lang w:val="en-GB"/>
        </w:rPr>
      </w:pPr>
      <w:r>
        <w:rPr>
          <w:b/>
          <w:lang w:val="en-GB"/>
        </w:rPr>
        <w:t>2</w:t>
      </w:r>
      <w:r w:rsidRPr="00521EAA">
        <w:rPr>
          <w:b/>
          <w:lang w:val="en-GB"/>
        </w:rPr>
        <w:t>.</w:t>
      </w:r>
      <w:r w:rsidRPr="00521EAA">
        <w:rPr>
          <w:lang w:val="en-GB"/>
        </w:rPr>
        <w:t xml:space="preserve"> Determine t</w:t>
      </w:r>
      <w:r w:rsidR="007A5EAF">
        <w:rPr>
          <w:lang w:val="en-GB"/>
        </w:rPr>
        <w:t>he VEI of Layer 3 with figure 4</w:t>
      </w:r>
    </w:p>
    <w:p w14:paraId="42517530" w14:textId="77777777" w:rsidR="00521EAA" w:rsidRDefault="00521EAA" w:rsidP="00521EAA">
      <w:pPr>
        <w:jc w:val="center"/>
      </w:pPr>
      <w:r>
        <w:rPr>
          <w:noProof/>
        </w:rPr>
        <w:drawing>
          <wp:inline distT="0" distB="0" distL="0" distR="0" wp14:anchorId="4E7AB586" wp14:editId="5492BF54">
            <wp:extent cx="4311698" cy="2470244"/>
            <wp:effectExtent l="19050" t="0" r="0" b="0"/>
            <wp:docPr id="25" name="Picture 25" descr="vei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vei[1]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81" cy="2469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0984A2" w14:textId="77777777" w:rsidR="00521EAA" w:rsidRDefault="00521EAA" w:rsidP="00521EAA">
      <w:pPr>
        <w:jc w:val="center"/>
        <w:rPr>
          <w:i/>
          <w:sz w:val="16"/>
          <w:szCs w:val="16"/>
          <w:lang w:val="en-GB"/>
        </w:rPr>
      </w:pPr>
      <w:r w:rsidRPr="00521EAA">
        <w:rPr>
          <w:b/>
          <w:i/>
          <w:sz w:val="16"/>
          <w:szCs w:val="16"/>
          <w:lang w:val="en-GB"/>
        </w:rPr>
        <w:t>Figure 4:</w:t>
      </w:r>
      <w:r w:rsidRPr="00521EAA">
        <w:rPr>
          <w:i/>
          <w:sz w:val="16"/>
          <w:szCs w:val="16"/>
          <w:lang w:val="en-GB"/>
        </w:rPr>
        <w:t xml:space="preserve"> Boundary parameters for VEI classes</w:t>
      </w:r>
      <w:r w:rsidR="007A5EAF">
        <w:rPr>
          <w:i/>
          <w:sz w:val="16"/>
          <w:szCs w:val="16"/>
          <w:lang w:val="en-GB"/>
        </w:rPr>
        <w:t xml:space="preserve"> </w:t>
      </w:r>
      <w:r w:rsidR="007A5EAF" w:rsidRPr="007A5EAF">
        <w:rPr>
          <w:i/>
          <w:sz w:val="16"/>
          <w:szCs w:val="16"/>
          <w:lang w:val="en-GB"/>
        </w:rPr>
        <w:t xml:space="preserve">(Newhall </w:t>
      </w:r>
      <w:r w:rsidR="007A5EAF">
        <w:rPr>
          <w:i/>
          <w:sz w:val="16"/>
          <w:szCs w:val="16"/>
          <w:lang w:val="en-GB"/>
        </w:rPr>
        <w:t>and Self 1982)</w:t>
      </w:r>
      <w:r w:rsidRPr="00521EAA">
        <w:rPr>
          <w:i/>
          <w:sz w:val="16"/>
          <w:szCs w:val="16"/>
          <w:lang w:val="en-GB"/>
        </w:rPr>
        <w:t>.</w:t>
      </w:r>
    </w:p>
    <w:p w14:paraId="6A321EA7" w14:textId="77777777" w:rsidR="00521EAA" w:rsidRDefault="00521EAA" w:rsidP="00521EAA">
      <w:pPr>
        <w:rPr>
          <w:lang w:val="en-GB"/>
        </w:rPr>
      </w:pPr>
      <w:r>
        <w:rPr>
          <w:b/>
          <w:lang w:val="en-GB"/>
        </w:rPr>
        <w:lastRenderedPageBreak/>
        <w:t>3</w:t>
      </w:r>
      <w:r w:rsidRPr="00521EAA">
        <w:rPr>
          <w:b/>
          <w:lang w:val="en-GB"/>
        </w:rPr>
        <w:t>.</w:t>
      </w:r>
      <w:r w:rsidRPr="00521EAA">
        <w:rPr>
          <w:lang w:val="en-GB"/>
        </w:rPr>
        <w:t xml:space="preserve"> Considering a density of the deposit of 700 kg/m</w:t>
      </w:r>
      <w:r w:rsidRPr="00521EAA">
        <w:rPr>
          <w:vertAlign w:val="superscript"/>
          <w:lang w:val="en-GB"/>
        </w:rPr>
        <w:t>3</w:t>
      </w:r>
      <w:r w:rsidRPr="00521EAA">
        <w:rPr>
          <w:lang w:val="en-GB"/>
        </w:rPr>
        <w:t>, calculate the eruption duration</w:t>
      </w:r>
      <w:r w:rsidR="00F84C9A">
        <w:rPr>
          <w:lang w:val="en-GB"/>
        </w:rPr>
        <w:t xml:space="preserve"> </w:t>
      </w:r>
      <w:r w:rsidR="00BF623C">
        <w:rPr>
          <w:lang w:val="en-GB"/>
        </w:rPr>
        <w:t>(</w:t>
      </w:r>
      <w:r w:rsidR="00BF623C" w:rsidRPr="000A5624">
        <w:rPr>
          <w:u w:val="single"/>
          <w:lang w:val="en-GB"/>
        </w:rPr>
        <w:t>in hours</w:t>
      </w:r>
      <w:r w:rsidR="00311543" w:rsidRPr="000A5624">
        <w:rPr>
          <w:u w:val="single"/>
          <w:lang w:val="en-GB"/>
        </w:rPr>
        <w:t xml:space="preserve"> and minutes</w:t>
      </w:r>
      <w:r w:rsidR="00BF623C">
        <w:rPr>
          <w:lang w:val="en-GB"/>
        </w:rPr>
        <w:t xml:space="preserve">) </w:t>
      </w:r>
      <w:r w:rsidR="00F84C9A">
        <w:rPr>
          <w:lang w:val="en-GB"/>
        </w:rPr>
        <w:t xml:space="preserve">using the 3 values </w:t>
      </w:r>
      <w:r w:rsidR="00BB6E0C">
        <w:rPr>
          <w:lang w:val="en-GB"/>
        </w:rPr>
        <w:t xml:space="preserve">of </w:t>
      </w:r>
      <w:r w:rsidR="0093657E">
        <w:rPr>
          <w:lang w:val="en-GB"/>
        </w:rPr>
        <w:t>volume</w:t>
      </w:r>
      <w:r w:rsidR="00BB6E0C">
        <w:rPr>
          <w:lang w:val="en-GB"/>
        </w:rPr>
        <w:t xml:space="preserve"> </w:t>
      </w:r>
      <w:r w:rsidR="00F84C9A">
        <w:rPr>
          <w:lang w:val="en-GB"/>
        </w:rPr>
        <w:t xml:space="preserve">obtained in exercise </w:t>
      </w:r>
      <w:r w:rsidR="0093657E">
        <w:rPr>
          <w:lang w:val="en-GB"/>
        </w:rPr>
        <w:t>1</w:t>
      </w:r>
      <w:r w:rsidR="00F84C9A">
        <w:rPr>
          <w:lang w:val="en-GB"/>
        </w:rPr>
        <w:t xml:space="preserve"> Part </w:t>
      </w:r>
      <w:r w:rsidR="0093657E">
        <w:rPr>
          <w:lang w:val="en-GB"/>
        </w:rPr>
        <w:t>2</w:t>
      </w:r>
      <w:r w:rsidR="00F84C9A">
        <w:rPr>
          <w:lang w:val="en-GB"/>
        </w:rPr>
        <w:t xml:space="preserve"> and </w:t>
      </w:r>
      <w:r w:rsidR="00BB6E0C">
        <w:rPr>
          <w:lang w:val="en-GB"/>
        </w:rPr>
        <w:t xml:space="preserve">the </w:t>
      </w:r>
      <w:r w:rsidR="0093657E">
        <w:rPr>
          <w:lang w:val="en-GB"/>
        </w:rPr>
        <w:t>MER</w:t>
      </w:r>
      <w:r w:rsidR="00BB6E0C">
        <w:rPr>
          <w:lang w:val="en-GB"/>
        </w:rPr>
        <w:t xml:space="preserve"> obtained with the </w:t>
      </w:r>
      <w:r w:rsidR="0093657E">
        <w:rPr>
          <w:lang w:val="en-GB"/>
        </w:rPr>
        <w:t>method of Degruyter and Bonadonna (2012)</w:t>
      </w:r>
      <w:r w:rsidR="00BB6E0C">
        <w:rPr>
          <w:lang w:val="en-GB"/>
        </w:rPr>
        <w:t>. D</w:t>
      </w:r>
      <w:r w:rsidR="00F84C9A">
        <w:rPr>
          <w:lang w:val="en-GB"/>
        </w:rPr>
        <w:t>iscuss the results</w:t>
      </w:r>
      <w:r w:rsidRPr="00521EAA">
        <w:rPr>
          <w:lang w:val="en-GB"/>
        </w:rPr>
        <w:t>.</w:t>
      </w:r>
    </w:p>
    <w:p w14:paraId="1FCEEAC6" w14:textId="77777777" w:rsidR="00AC6962" w:rsidRPr="00521EAA" w:rsidRDefault="00AC6962" w:rsidP="00521EAA">
      <w:pPr>
        <w:rPr>
          <w:lang w:val="en-GB"/>
        </w:rPr>
      </w:pPr>
    </w:p>
    <w:p w14:paraId="60117C4E" w14:textId="77777777" w:rsidR="00521EAA" w:rsidRPr="00521EAA" w:rsidRDefault="00521EAA" w:rsidP="00521EAA">
      <w:pPr>
        <w:rPr>
          <w:lang w:val="en-GB"/>
        </w:rPr>
      </w:pPr>
      <w:r>
        <w:rPr>
          <w:b/>
          <w:lang w:val="en-GB"/>
        </w:rPr>
        <w:t>4</w:t>
      </w:r>
      <w:r w:rsidRPr="00521EAA">
        <w:rPr>
          <w:b/>
          <w:lang w:val="en-GB"/>
        </w:rPr>
        <w:t xml:space="preserve">. </w:t>
      </w:r>
      <w:r w:rsidRPr="00521EAA">
        <w:rPr>
          <w:lang w:val="en-GB"/>
        </w:rPr>
        <w:t>Using the value of b</w:t>
      </w:r>
      <w:r w:rsidRPr="00521EAA">
        <w:rPr>
          <w:vertAlign w:val="subscript"/>
          <w:lang w:val="en-GB"/>
        </w:rPr>
        <w:t>t</w:t>
      </w:r>
      <w:r w:rsidRPr="00521EAA">
        <w:rPr>
          <w:lang w:val="en-GB"/>
        </w:rPr>
        <w:t xml:space="preserve"> calculated in eq. </w:t>
      </w:r>
      <w:r w:rsidR="0054096D">
        <w:rPr>
          <w:lang w:val="en-GB"/>
        </w:rPr>
        <w:t>5</w:t>
      </w:r>
      <w:r w:rsidRPr="00521EAA">
        <w:rPr>
          <w:lang w:val="en-GB"/>
        </w:rPr>
        <w:t xml:space="preserve"> and a value of b</w:t>
      </w:r>
      <w:r w:rsidRPr="00521EAA">
        <w:rPr>
          <w:vertAlign w:val="subscript"/>
          <w:lang w:val="en-GB"/>
        </w:rPr>
        <w:t>c</w:t>
      </w:r>
      <w:r w:rsidRPr="00521EAA">
        <w:rPr>
          <w:lang w:val="en-GB"/>
        </w:rPr>
        <w:t xml:space="preserve"> of 2.8 km, use figure 5 and the method of Pyle (1989) to classify the eruption associated with Layer 3.</w:t>
      </w:r>
    </w:p>
    <w:p w14:paraId="19DA9607" w14:textId="77777777" w:rsidR="00521EAA" w:rsidRDefault="00521EAA" w:rsidP="00521EAA">
      <w:pPr>
        <w:jc w:val="center"/>
      </w:pPr>
      <w:r>
        <w:rPr>
          <w:noProof/>
        </w:rPr>
        <w:drawing>
          <wp:inline distT="0" distB="0" distL="0" distR="0" wp14:anchorId="1CC2D7B4" wp14:editId="79D9D43A">
            <wp:extent cx="3672669" cy="2915475"/>
            <wp:effectExtent l="19050" t="0" r="3981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526" cy="2916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BA4E47" w14:textId="77777777" w:rsidR="00521EAA" w:rsidRPr="00521EAA" w:rsidRDefault="00521EAA" w:rsidP="00521EAA">
      <w:pPr>
        <w:jc w:val="center"/>
        <w:rPr>
          <w:i/>
          <w:sz w:val="16"/>
          <w:szCs w:val="16"/>
          <w:lang w:val="en-GB"/>
        </w:rPr>
      </w:pPr>
      <w:r w:rsidRPr="00521EAA">
        <w:rPr>
          <w:b/>
          <w:i/>
          <w:sz w:val="16"/>
          <w:szCs w:val="16"/>
          <w:lang w:val="en-GB"/>
        </w:rPr>
        <w:t>Figure 5:</w:t>
      </w:r>
      <w:r w:rsidRPr="00521EAA">
        <w:rPr>
          <w:i/>
          <w:sz w:val="16"/>
          <w:szCs w:val="16"/>
          <w:lang w:val="en-GB"/>
        </w:rPr>
        <w:t xml:space="preserve"> Classification scheme of Pyle (1989).</w:t>
      </w:r>
    </w:p>
    <w:p w14:paraId="7943B225" w14:textId="77777777" w:rsidR="0014054C" w:rsidRDefault="0014054C" w:rsidP="00D724B1">
      <w:pPr>
        <w:spacing w:after="0" w:line="240" w:lineRule="auto"/>
        <w:rPr>
          <w:b/>
          <w:i/>
          <w:sz w:val="16"/>
          <w:szCs w:val="16"/>
          <w:lang w:val="en-US"/>
        </w:rPr>
      </w:pPr>
    </w:p>
    <w:p w14:paraId="35163592" w14:textId="77777777" w:rsidR="005F39C2" w:rsidRPr="005F39C2" w:rsidRDefault="005F39C2" w:rsidP="005F39C2">
      <w:pPr>
        <w:spacing w:after="0" w:line="240" w:lineRule="auto"/>
        <w:jc w:val="both"/>
        <w:rPr>
          <w:b/>
          <w:u w:val="single"/>
          <w:lang w:val="en-US"/>
        </w:rPr>
      </w:pPr>
      <w:r w:rsidRPr="005F39C2">
        <w:rPr>
          <w:b/>
          <w:u w:val="single"/>
          <w:lang w:val="en-US"/>
        </w:rPr>
        <w:t>References:</w:t>
      </w:r>
    </w:p>
    <w:p w14:paraId="3011ECE5" w14:textId="77777777" w:rsidR="00F35494" w:rsidRDefault="00F35494" w:rsidP="00F35494">
      <w:pPr>
        <w:spacing w:after="0" w:line="240" w:lineRule="auto"/>
        <w:ind w:left="284" w:hanging="284"/>
        <w:jc w:val="both"/>
        <w:rPr>
          <w:lang w:val="en-US"/>
        </w:rPr>
      </w:pPr>
      <w:r w:rsidRPr="00F35494">
        <w:rPr>
          <w:lang w:val="en-US"/>
        </w:rPr>
        <w:t>Carey SN, Sparks RSJ (1986) Quantitative models of the fallout and dispersal of tephra from volcanic eruption columns. Bulletin of Volcanology 48:109-125</w:t>
      </w:r>
    </w:p>
    <w:p w14:paraId="3AB9D247" w14:textId="77777777" w:rsidR="00380FE9" w:rsidRDefault="00380FE9" w:rsidP="00380FE9">
      <w:pPr>
        <w:spacing w:after="0" w:line="240" w:lineRule="auto"/>
        <w:ind w:left="284" w:hanging="284"/>
        <w:jc w:val="both"/>
        <w:rPr>
          <w:lang w:val="en-US"/>
        </w:rPr>
      </w:pPr>
      <w:r>
        <w:rPr>
          <w:lang w:val="en-US"/>
        </w:rPr>
        <w:t>Rossi E</w:t>
      </w:r>
      <w:r w:rsidRPr="00F35494">
        <w:rPr>
          <w:lang w:val="en-US"/>
        </w:rPr>
        <w:t xml:space="preserve">, </w:t>
      </w:r>
      <w:r w:rsidR="00C92498">
        <w:rPr>
          <w:lang w:val="en-US"/>
        </w:rPr>
        <w:t>Bonadonna C, Degruyter W (201</w:t>
      </w:r>
      <w:r w:rsidR="0085017F">
        <w:rPr>
          <w:lang w:val="en-US"/>
        </w:rPr>
        <w:t>8</w:t>
      </w:r>
      <w:r w:rsidRPr="00F35494">
        <w:rPr>
          <w:lang w:val="en-US"/>
        </w:rPr>
        <w:t xml:space="preserve">) </w:t>
      </w:r>
      <w:r>
        <w:rPr>
          <w:lang w:val="en-US"/>
        </w:rPr>
        <w:t>A new strategy for the estimation of plume height from clast dispersal in various atmospheric and eruptive condit</w:t>
      </w:r>
      <w:r w:rsidR="00997311">
        <w:rPr>
          <w:lang w:val="en-US"/>
        </w:rPr>
        <w:t>i</w:t>
      </w:r>
      <w:r>
        <w:rPr>
          <w:lang w:val="en-US"/>
        </w:rPr>
        <w:t>ons</w:t>
      </w:r>
      <w:r w:rsidRPr="00F35494">
        <w:rPr>
          <w:lang w:val="en-US"/>
        </w:rPr>
        <w:t xml:space="preserve">. </w:t>
      </w:r>
      <w:r w:rsidR="00997311">
        <w:rPr>
          <w:lang w:val="en-US"/>
        </w:rPr>
        <w:t>Earth and Planetary Science Letters</w:t>
      </w:r>
      <w:r w:rsidR="00C92498">
        <w:rPr>
          <w:lang w:val="en-US"/>
        </w:rPr>
        <w:t xml:space="preserve"> 505</w:t>
      </w:r>
      <w:r w:rsidRPr="00F35494">
        <w:rPr>
          <w:lang w:val="en-US"/>
        </w:rPr>
        <w:t>:1</w:t>
      </w:r>
      <w:r w:rsidR="00997311">
        <w:rPr>
          <w:lang w:val="en-US"/>
        </w:rPr>
        <w:t>-12</w:t>
      </w:r>
      <w:r w:rsidR="000C4984">
        <w:rPr>
          <w:lang w:val="en-US"/>
        </w:rPr>
        <w:t xml:space="preserve"> </w:t>
      </w:r>
      <w:hyperlink r:id="rId52" w:history="1">
        <w:r w:rsidR="000C4984" w:rsidRPr="00714728">
          <w:rPr>
            <w:rStyle w:val="Hyperlink"/>
            <w:lang w:val="en-US"/>
          </w:rPr>
          <w:t>https://www.sciencedirect.com/science/article/pii/S0012821X18305958?via%3Dihub</w:t>
        </w:r>
      </w:hyperlink>
      <w:r w:rsidR="000C4984">
        <w:rPr>
          <w:lang w:val="en-US"/>
        </w:rPr>
        <w:t xml:space="preserve"> </w:t>
      </w:r>
    </w:p>
    <w:p w14:paraId="05C4B368" w14:textId="77777777" w:rsidR="00774DD8" w:rsidRDefault="00774DD8" w:rsidP="00F35494">
      <w:pPr>
        <w:spacing w:after="0" w:line="240" w:lineRule="auto"/>
        <w:ind w:left="284" w:hanging="284"/>
        <w:jc w:val="both"/>
        <w:rPr>
          <w:lang w:val="en-US"/>
        </w:rPr>
      </w:pPr>
      <w:r w:rsidRPr="00774DD8">
        <w:rPr>
          <w:lang w:val="en-US"/>
        </w:rPr>
        <w:t>Degruyter W, Bonadonna C (2012) Improving on mass flow rate estimates of volcanic eruptions</w:t>
      </w:r>
      <w:r>
        <w:rPr>
          <w:lang w:val="en-US"/>
        </w:rPr>
        <w:t>, Geophysical Research Letters</w:t>
      </w:r>
    </w:p>
    <w:p w14:paraId="66234670" w14:textId="77777777" w:rsidR="00F35494" w:rsidRDefault="00F35494" w:rsidP="00F35494">
      <w:pPr>
        <w:spacing w:after="0" w:line="240" w:lineRule="auto"/>
        <w:ind w:left="284" w:hanging="284"/>
        <w:jc w:val="both"/>
        <w:rPr>
          <w:lang w:val="en-US"/>
        </w:rPr>
      </w:pPr>
      <w:r w:rsidRPr="00F35494">
        <w:rPr>
          <w:lang w:val="en-US"/>
        </w:rPr>
        <w:t>Mastin, L.G., M. Guffanti, R. Servranckx, P. Webley, S. Barsotti, K. Dean, A. Durant, J.W. Ewert, A. Neri, W.I. Rose, D. Schneider, L. Siebert, B. Stunder, G. Swanson, A. Tupper, A. Volentik, C.F. Waythomas (2009) A multidisciplinary effort to assign realistic source parameters to models of volcanic ash-cloud transport and dispersion during eruptions. Journal of Volcanology and Geothermal Research, 186, Issues 1–2, 10–21.</w:t>
      </w:r>
    </w:p>
    <w:p w14:paraId="72523696" w14:textId="77777777" w:rsidR="00AC6962" w:rsidRDefault="00AC6962" w:rsidP="00AC6962">
      <w:pPr>
        <w:spacing w:after="0" w:line="240" w:lineRule="auto"/>
        <w:ind w:left="284" w:hanging="284"/>
        <w:jc w:val="both"/>
        <w:rPr>
          <w:lang w:val="en-US"/>
        </w:rPr>
      </w:pPr>
      <w:r w:rsidRPr="00AC6962">
        <w:rPr>
          <w:lang w:val="en-US"/>
        </w:rPr>
        <w:t>Newhall CG, Self S (1982) The volcanic explosivity index (VEI)-An estimate of explosive magnit</w:t>
      </w:r>
      <w:r>
        <w:rPr>
          <w:lang w:val="en-US"/>
        </w:rPr>
        <w:t xml:space="preserve">ude for historical volcanism. J </w:t>
      </w:r>
      <w:r w:rsidRPr="00AC6962">
        <w:rPr>
          <w:lang w:val="en-US"/>
        </w:rPr>
        <w:t>Geophys Res 87:1231–1238</w:t>
      </w:r>
    </w:p>
    <w:p w14:paraId="57051B04" w14:textId="77777777" w:rsidR="00F35494" w:rsidRDefault="00F35494" w:rsidP="00AC6962">
      <w:pPr>
        <w:spacing w:after="0" w:line="240" w:lineRule="auto"/>
        <w:ind w:left="284" w:hanging="284"/>
        <w:jc w:val="both"/>
        <w:rPr>
          <w:lang w:val="en-US"/>
        </w:rPr>
      </w:pPr>
      <w:r w:rsidRPr="00F35494">
        <w:rPr>
          <w:lang w:val="en-US"/>
        </w:rPr>
        <w:t>Pyle, DM (1989) The thickness, volume and grainsize of tephra fall deposits. Bulletin of Volcanology 51(1):1-15</w:t>
      </w:r>
    </w:p>
    <w:p w14:paraId="79EA5279" w14:textId="77777777" w:rsidR="005F39C2" w:rsidRPr="00C92498" w:rsidRDefault="009F7031" w:rsidP="009F7031">
      <w:pPr>
        <w:spacing w:after="0" w:line="240" w:lineRule="auto"/>
        <w:ind w:left="284" w:hanging="284"/>
        <w:jc w:val="both"/>
        <w:rPr>
          <w:lang w:val="en-US"/>
        </w:rPr>
      </w:pPr>
      <w:r w:rsidRPr="009F7031">
        <w:rPr>
          <w:lang w:val="en-US"/>
        </w:rPr>
        <w:t>Wilson L, Walker GPL (1987) Explosive volcanic-eruptions .6. Ejecta dispersal in plinian eruptions - the control of eruption conditions and atmospheric properties. Geophysical Journal of the Royal Astronomical Society 89(2):657-679</w:t>
      </w:r>
    </w:p>
    <w:sectPr w:rsidR="005F39C2" w:rsidRPr="00C92498" w:rsidSect="001C4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721EEF" w14:textId="77777777" w:rsidR="00992689" w:rsidRDefault="00992689" w:rsidP="00D724B1">
      <w:pPr>
        <w:spacing w:after="0" w:line="240" w:lineRule="auto"/>
      </w:pPr>
      <w:r>
        <w:separator/>
      </w:r>
    </w:p>
  </w:endnote>
  <w:endnote w:type="continuationSeparator" w:id="0">
    <w:p w14:paraId="11E8F7D0" w14:textId="77777777" w:rsidR="00992689" w:rsidRDefault="00992689" w:rsidP="00D72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34D26F" w14:textId="77777777" w:rsidR="00992689" w:rsidRDefault="00992689" w:rsidP="00D724B1">
      <w:pPr>
        <w:spacing w:after="0" w:line="240" w:lineRule="auto"/>
      </w:pPr>
      <w:r>
        <w:separator/>
      </w:r>
    </w:p>
  </w:footnote>
  <w:footnote w:type="continuationSeparator" w:id="0">
    <w:p w14:paraId="5ADD79B0" w14:textId="77777777" w:rsidR="00992689" w:rsidRDefault="00992689" w:rsidP="00D72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05C18"/>
    <w:multiLevelType w:val="hybridMultilevel"/>
    <w:tmpl w:val="352082AA"/>
    <w:lvl w:ilvl="0" w:tplc="90D6C34E">
      <w:start w:val="1"/>
      <w:numFmt w:val="decimal"/>
      <w:lvlText w:val="%1)"/>
      <w:lvlJc w:val="left"/>
      <w:pPr>
        <w:tabs>
          <w:tab w:val="num" w:pos="-540"/>
        </w:tabs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" w15:restartNumberingAfterBreak="0">
    <w:nsid w:val="778B7403"/>
    <w:multiLevelType w:val="hybridMultilevel"/>
    <w:tmpl w:val="D4B010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F7C"/>
    <w:rsid w:val="0000063D"/>
    <w:rsid w:val="00027691"/>
    <w:rsid w:val="0003747E"/>
    <w:rsid w:val="0006399A"/>
    <w:rsid w:val="000A5624"/>
    <w:rsid w:val="000C4984"/>
    <w:rsid w:val="000E178A"/>
    <w:rsid w:val="000F435C"/>
    <w:rsid w:val="001008AD"/>
    <w:rsid w:val="001009AA"/>
    <w:rsid w:val="00107017"/>
    <w:rsid w:val="0011102F"/>
    <w:rsid w:val="0014054C"/>
    <w:rsid w:val="001610E3"/>
    <w:rsid w:val="001B0C91"/>
    <w:rsid w:val="001C411C"/>
    <w:rsid w:val="00214CF8"/>
    <w:rsid w:val="00230257"/>
    <w:rsid w:val="00235261"/>
    <w:rsid w:val="00271146"/>
    <w:rsid w:val="00293973"/>
    <w:rsid w:val="002A4486"/>
    <w:rsid w:val="002D67DC"/>
    <w:rsid w:val="00311543"/>
    <w:rsid w:val="0031362E"/>
    <w:rsid w:val="0031557F"/>
    <w:rsid w:val="003768C2"/>
    <w:rsid w:val="00380FE9"/>
    <w:rsid w:val="003A168C"/>
    <w:rsid w:val="003C5013"/>
    <w:rsid w:val="003E709A"/>
    <w:rsid w:val="003F1891"/>
    <w:rsid w:val="003F71B1"/>
    <w:rsid w:val="00411F3F"/>
    <w:rsid w:val="00431848"/>
    <w:rsid w:val="00437B2F"/>
    <w:rsid w:val="004535C7"/>
    <w:rsid w:val="00463D42"/>
    <w:rsid w:val="004739C2"/>
    <w:rsid w:val="004A112D"/>
    <w:rsid w:val="004D6D1B"/>
    <w:rsid w:val="00506B78"/>
    <w:rsid w:val="0051180D"/>
    <w:rsid w:val="00520EA5"/>
    <w:rsid w:val="00521EAA"/>
    <w:rsid w:val="0054096D"/>
    <w:rsid w:val="0057078D"/>
    <w:rsid w:val="005744B2"/>
    <w:rsid w:val="005E2357"/>
    <w:rsid w:val="005F39C2"/>
    <w:rsid w:val="005F5CF0"/>
    <w:rsid w:val="0061021E"/>
    <w:rsid w:val="00656196"/>
    <w:rsid w:val="006633D4"/>
    <w:rsid w:val="006C3FE6"/>
    <w:rsid w:val="006E0E51"/>
    <w:rsid w:val="006F5789"/>
    <w:rsid w:val="007222BA"/>
    <w:rsid w:val="0076038F"/>
    <w:rsid w:val="00774DD8"/>
    <w:rsid w:val="007A5EAF"/>
    <w:rsid w:val="007B027D"/>
    <w:rsid w:val="007B1B4A"/>
    <w:rsid w:val="0081485E"/>
    <w:rsid w:val="0083029A"/>
    <w:rsid w:val="0085017F"/>
    <w:rsid w:val="00876738"/>
    <w:rsid w:val="00897372"/>
    <w:rsid w:val="008C00EC"/>
    <w:rsid w:val="00903783"/>
    <w:rsid w:val="009122E3"/>
    <w:rsid w:val="00913582"/>
    <w:rsid w:val="00922DE2"/>
    <w:rsid w:val="0093657E"/>
    <w:rsid w:val="00952065"/>
    <w:rsid w:val="00984A75"/>
    <w:rsid w:val="00992689"/>
    <w:rsid w:val="00997311"/>
    <w:rsid w:val="009D0042"/>
    <w:rsid w:val="009D0D5B"/>
    <w:rsid w:val="009F24AF"/>
    <w:rsid w:val="009F7031"/>
    <w:rsid w:val="00A16F72"/>
    <w:rsid w:val="00A16FBE"/>
    <w:rsid w:val="00A2685E"/>
    <w:rsid w:val="00A51F17"/>
    <w:rsid w:val="00A65337"/>
    <w:rsid w:val="00A734F8"/>
    <w:rsid w:val="00A82A42"/>
    <w:rsid w:val="00AA7111"/>
    <w:rsid w:val="00AB520E"/>
    <w:rsid w:val="00AC6962"/>
    <w:rsid w:val="00AE1230"/>
    <w:rsid w:val="00AF3B30"/>
    <w:rsid w:val="00B05A9F"/>
    <w:rsid w:val="00B2211A"/>
    <w:rsid w:val="00B32A34"/>
    <w:rsid w:val="00B354ED"/>
    <w:rsid w:val="00B6247B"/>
    <w:rsid w:val="00B633A4"/>
    <w:rsid w:val="00B74A66"/>
    <w:rsid w:val="00BB6E0C"/>
    <w:rsid w:val="00BF016E"/>
    <w:rsid w:val="00BF623C"/>
    <w:rsid w:val="00BF65EA"/>
    <w:rsid w:val="00C10CB3"/>
    <w:rsid w:val="00C25D8A"/>
    <w:rsid w:val="00C35D34"/>
    <w:rsid w:val="00C445CB"/>
    <w:rsid w:val="00C50ED5"/>
    <w:rsid w:val="00C52C19"/>
    <w:rsid w:val="00C92498"/>
    <w:rsid w:val="00C97529"/>
    <w:rsid w:val="00CB44A8"/>
    <w:rsid w:val="00CC564A"/>
    <w:rsid w:val="00CF5474"/>
    <w:rsid w:val="00D41CC2"/>
    <w:rsid w:val="00D724B1"/>
    <w:rsid w:val="00D76F91"/>
    <w:rsid w:val="00D96B0A"/>
    <w:rsid w:val="00DC4A0F"/>
    <w:rsid w:val="00DE2FF0"/>
    <w:rsid w:val="00DE4C93"/>
    <w:rsid w:val="00DE7D85"/>
    <w:rsid w:val="00DF05E0"/>
    <w:rsid w:val="00DF2437"/>
    <w:rsid w:val="00E00FE5"/>
    <w:rsid w:val="00E2299F"/>
    <w:rsid w:val="00E24131"/>
    <w:rsid w:val="00E6064D"/>
    <w:rsid w:val="00E67D0D"/>
    <w:rsid w:val="00E96B1C"/>
    <w:rsid w:val="00EA0A48"/>
    <w:rsid w:val="00EC6B3F"/>
    <w:rsid w:val="00EE3960"/>
    <w:rsid w:val="00F01776"/>
    <w:rsid w:val="00F35494"/>
    <w:rsid w:val="00F362EC"/>
    <w:rsid w:val="00F66D3A"/>
    <w:rsid w:val="00F84C9A"/>
    <w:rsid w:val="00F8799D"/>
    <w:rsid w:val="00FA5D75"/>
    <w:rsid w:val="00FD4F7C"/>
    <w:rsid w:val="00FE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5B674C6E"/>
  <w15:docId w15:val="{95C752EE-9B0F-47F6-844E-7F5A6D1D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A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112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2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4B1"/>
  </w:style>
  <w:style w:type="paragraph" w:styleId="Footer">
    <w:name w:val="footer"/>
    <w:basedOn w:val="Normal"/>
    <w:link w:val="FooterChar"/>
    <w:uiPriority w:val="99"/>
    <w:unhideWhenUsed/>
    <w:rsid w:val="00D72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4B1"/>
  </w:style>
  <w:style w:type="paragraph" w:styleId="ListParagraph">
    <w:name w:val="List Paragraph"/>
    <w:basedOn w:val="Normal"/>
    <w:uiPriority w:val="34"/>
    <w:qFormat/>
    <w:rsid w:val="00521EAA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17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oleObject" Target="embeddings/oleObject14.bin"/><Relationship Id="rId21" Type="http://schemas.openxmlformats.org/officeDocument/2006/relationships/image" Target="media/image8.wmf"/><Relationship Id="rId34" Type="http://schemas.openxmlformats.org/officeDocument/2006/relationships/image" Target="media/image14.jpeg"/><Relationship Id="rId42" Type="http://schemas.openxmlformats.org/officeDocument/2006/relationships/image" Target="media/image18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2.jpeg"/><Relationship Id="rId7" Type="http://schemas.openxmlformats.org/officeDocument/2006/relationships/hyperlink" Target="mailto:Costanza.Bonadonna@unige.ch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3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7.bin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hyperlink" Target="https://www.sciencedirect.com/science/article/pii/S0012821X18305958?via%3Dihu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chart" Target="charts/chart1.xml"/><Relationship Id="rId43" Type="http://schemas.openxmlformats.org/officeDocument/2006/relationships/oleObject" Target="embeddings/oleObject16.bin"/><Relationship Id="rId48" Type="http://schemas.openxmlformats.org/officeDocument/2006/relationships/image" Target="media/image21.wmf"/><Relationship Id="rId8" Type="http://schemas.openxmlformats.org/officeDocument/2006/relationships/hyperlink" Target="mailto:Eduardo.Rossi@unige.ch" TargetMode="External"/><Relationship Id="rId51" Type="http://schemas.openxmlformats.org/officeDocument/2006/relationships/image" Target="media/image23.png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5.bin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image" Target="media/image15.wmf"/><Relationship Id="rId49" Type="http://schemas.openxmlformats.org/officeDocument/2006/relationships/oleObject" Target="embeddings/oleObject19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Cotopaxi\seb_volume_template_th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7510407498156388"/>
          <c:y val="6.9804213662481476E-2"/>
          <c:w val="0.7321861693270203"/>
          <c:h val="0.64455380577427823"/>
        </c:manualLayout>
      </c:layout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ymbol val="plus"/>
            <c:size val="5"/>
            <c:spPr>
              <a:noFill/>
              <a:ln>
                <a:solidFill>
                  <a:schemeClr val="tx1"/>
                </a:solidFill>
                <a:prstDash val="solid"/>
              </a:ln>
            </c:spPr>
          </c:marker>
          <c:xVal>
            <c:numRef>
              <c:f>'1_seg_layer3_total'!$D$8:$D$13</c:f>
              <c:numCache>
                <c:formatCode>0.00</c:formatCode>
                <c:ptCount val="6"/>
                <c:pt idx="0">
                  <c:v>7.0926017793190672</c:v>
                </c:pt>
                <c:pt idx="1">
                  <c:v>9.8812954616284987</c:v>
                </c:pt>
                <c:pt idx="2">
                  <c:v>12.487994234463766</c:v>
                </c:pt>
                <c:pt idx="3">
                  <c:v>14.357332621347194</c:v>
                </c:pt>
                <c:pt idx="4">
                  <c:v>18.559849137317887</c:v>
                </c:pt>
                <c:pt idx="5">
                  <c:v>24.274451590097787</c:v>
                </c:pt>
              </c:numCache>
            </c:numRef>
          </c:xVal>
          <c:yVal>
            <c:numRef>
              <c:f>'1_seg_layer3_total'!$A$8:$A$13</c:f>
              <c:numCache>
                <c:formatCode>General</c:formatCode>
                <c:ptCount val="6"/>
                <c:pt idx="0">
                  <c:v>180</c:v>
                </c:pt>
                <c:pt idx="1">
                  <c:v>150</c:v>
                </c:pt>
                <c:pt idx="2">
                  <c:v>100</c:v>
                </c:pt>
                <c:pt idx="3">
                  <c:v>80</c:v>
                </c:pt>
                <c:pt idx="4" formatCode="0.00">
                  <c:v>50</c:v>
                </c:pt>
                <c:pt idx="5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EC4-BB4E-B4C4-9CF447BAA8D8}"/>
            </c:ext>
          </c:extLst>
        </c:ser>
        <c:ser>
          <c:idx val="1"/>
          <c:order val="1"/>
          <c:spPr>
            <a:ln w="28575">
              <a:noFill/>
            </a:ln>
          </c:spPr>
          <c:marker>
            <c:symbol val="none"/>
          </c:marker>
          <c:trendline>
            <c:name>PL</c:name>
            <c:spPr>
              <a:ln w="3175">
                <a:solidFill>
                  <a:srgbClr val="000000"/>
                </a:solidFill>
                <a:prstDash val="lgDash"/>
              </a:ln>
            </c:spPr>
            <c:trendlineType val="power"/>
            <c:forward val="4"/>
            <c:backward val="3"/>
            <c:dispRSqr val="0"/>
            <c:dispEq val="1"/>
            <c:trendlineLbl>
              <c:layout>
                <c:manualLayout>
                  <c:x val="-0.23421580036644796"/>
                  <c:y val="6.2936192831655913E-2"/>
                </c:manualLayout>
              </c:layout>
              <c:tx>
                <c:rich>
                  <a:bodyPr/>
                  <a:lstStyle/>
                  <a:p>
                    <a:pPr>
                      <a:defRPr sz="925" b="0" i="0" u="none" strike="noStrike" baseline="0">
                        <a:solidFill>
                          <a:srgbClr val="000000"/>
                        </a:solidFill>
                        <a:latin typeface="Arial"/>
                        <a:ea typeface="Arial"/>
                        <a:cs typeface="Arial"/>
                      </a:defRPr>
                    </a:pPr>
                    <a:r>
                      <a:rPr lang="en-GB" sz="850" b="0" i="0" u="none" strike="noStrike" baseline="0">
                        <a:solidFill>
                          <a:srgbClr val="000000"/>
                        </a:solidFill>
                        <a:latin typeface="Arial"/>
                        <a:cs typeface="Arial"/>
                      </a:rPr>
                      <a:t>y = 7409.7x</a:t>
                    </a:r>
                    <a:r>
                      <a:rPr lang="en-GB" sz="850" b="1" i="0" u="none" strike="noStrike" baseline="30000">
                        <a:solidFill>
                          <a:srgbClr val="000000"/>
                        </a:solidFill>
                        <a:latin typeface="Arial"/>
                        <a:cs typeface="Arial"/>
                      </a:rPr>
                      <a:t>-1.76</a:t>
                    </a:r>
                  </a:p>
                </c:rich>
              </c:tx>
              <c:numFmt formatCode="General" sourceLinked="0"/>
              <c:spPr>
                <a:noFill/>
                <a:ln w="25400">
                  <a:noFill/>
                </a:ln>
              </c:spPr>
            </c:trendlineLbl>
          </c:trendline>
          <c:trendline>
            <c:name>Exp - 1 seg.</c:name>
            <c:spPr>
              <a:ln w="3175">
                <a:solidFill>
                  <a:srgbClr val="000000"/>
                </a:solidFill>
                <a:prstDash val="solid"/>
              </a:ln>
            </c:spPr>
            <c:trendlineType val="exp"/>
            <c:forward val="4"/>
            <c:backward val="5"/>
            <c:dispRSqr val="0"/>
            <c:dispEq val="1"/>
            <c:trendlineLbl>
              <c:layout>
                <c:manualLayout>
                  <c:x val="-0.12064099713090208"/>
                  <c:y val="8.6921365344531501E-2"/>
                </c:manualLayout>
              </c:layout>
              <c:tx>
                <c:rich>
                  <a:bodyPr/>
                  <a:lstStyle/>
                  <a:p>
                    <a:pPr>
                      <a:defRPr sz="925" b="0" i="0" u="none" strike="noStrike" baseline="0">
                        <a:solidFill>
                          <a:srgbClr val="000000"/>
                        </a:solidFill>
                        <a:latin typeface="Arial"/>
                        <a:ea typeface="Arial"/>
                        <a:cs typeface="Arial"/>
                      </a:defRPr>
                    </a:pPr>
                    <a:r>
                      <a:rPr lang="en-GB" sz="850" b="0" i="0" u="none" strike="noStrike" baseline="0">
                        <a:solidFill>
                          <a:srgbClr val="000000"/>
                        </a:solidFill>
                        <a:latin typeface="Arial"/>
                        <a:cs typeface="Arial"/>
                      </a:rPr>
                      <a:t>y = 500.06e</a:t>
                    </a:r>
                    <a:r>
                      <a:rPr lang="en-GB" sz="850" b="1" i="0" u="none" strike="noStrike" baseline="30000">
                        <a:solidFill>
                          <a:srgbClr val="000000"/>
                        </a:solidFill>
                        <a:latin typeface="Arial"/>
                        <a:cs typeface="Arial"/>
                      </a:rPr>
                      <a:t>-0.129x</a:t>
                    </a:r>
                  </a:p>
                </c:rich>
              </c:tx>
              <c:numFmt formatCode="General" sourceLinked="0"/>
              <c:spPr>
                <a:noFill/>
                <a:ln w="25400">
                  <a:noFill/>
                </a:ln>
              </c:spPr>
            </c:trendlineLbl>
          </c:trendline>
          <c:xVal>
            <c:numRef>
              <c:f>'1_seg_layer3_total'!$D$8:$D$13</c:f>
              <c:numCache>
                <c:formatCode>0.00</c:formatCode>
                <c:ptCount val="6"/>
                <c:pt idx="0">
                  <c:v>7.0926017793190672</c:v>
                </c:pt>
                <c:pt idx="1">
                  <c:v>9.8812954616284987</c:v>
                </c:pt>
                <c:pt idx="2">
                  <c:v>12.487994234463766</c:v>
                </c:pt>
                <c:pt idx="3">
                  <c:v>14.357332621347194</c:v>
                </c:pt>
                <c:pt idx="4">
                  <c:v>18.559849137317887</c:v>
                </c:pt>
                <c:pt idx="5">
                  <c:v>24.274451590097787</c:v>
                </c:pt>
              </c:numCache>
            </c:numRef>
          </c:xVal>
          <c:yVal>
            <c:numRef>
              <c:f>'1_seg_layer3_total'!$A$8:$A$13</c:f>
              <c:numCache>
                <c:formatCode>General</c:formatCode>
                <c:ptCount val="6"/>
                <c:pt idx="0">
                  <c:v>180</c:v>
                </c:pt>
                <c:pt idx="1">
                  <c:v>150</c:v>
                </c:pt>
                <c:pt idx="2">
                  <c:v>100</c:v>
                </c:pt>
                <c:pt idx="3">
                  <c:v>80</c:v>
                </c:pt>
                <c:pt idx="4" formatCode="0.00">
                  <c:v>50</c:v>
                </c:pt>
                <c:pt idx="5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EC4-BB4E-B4C4-9CF447BAA8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657792"/>
        <c:axId val="140659520"/>
      </c:scatterChart>
      <c:valAx>
        <c:axId val="1406577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900" b="0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GB" sz="900" b="1" i="0" u="none" strike="noStrike" baseline="0">
                    <a:solidFill>
                      <a:srgbClr val="000000"/>
                    </a:solidFill>
                    <a:latin typeface="Arial" panose="020B0604020202020204" pitchFamily="34" charset="0"/>
                    <a:ea typeface="Tahoma" panose="020B0604030504040204" pitchFamily="34" charset="0"/>
                    <a:cs typeface="Arial" panose="020B0604020202020204" pitchFamily="34" charset="0"/>
                  </a:rPr>
                  <a:t>Area</a:t>
                </a:r>
                <a:r>
                  <a:rPr lang="en-GB" sz="900" b="1" i="0" u="none" strike="noStrike" baseline="30000">
                    <a:solidFill>
                      <a:srgbClr val="000000"/>
                    </a:solidFill>
                    <a:latin typeface="Arial" panose="020B0604020202020204" pitchFamily="34" charset="0"/>
                    <a:ea typeface="Tahoma" panose="020B0604030504040204" pitchFamily="34" charset="0"/>
                    <a:cs typeface="Arial" panose="020B0604020202020204" pitchFamily="34" charset="0"/>
                  </a:rPr>
                  <a:t>1/2  </a:t>
                </a:r>
                <a:r>
                  <a:rPr lang="en-GB" sz="900" b="1" i="0" u="none" strike="noStrike" baseline="0">
                    <a:solidFill>
                      <a:srgbClr val="000000"/>
                    </a:solidFill>
                    <a:latin typeface="Arial" panose="020B0604020202020204" pitchFamily="34" charset="0"/>
                    <a:ea typeface="Tahoma" panose="020B0604030504040204" pitchFamily="34" charset="0"/>
                    <a:cs typeface="Arial" panose="020B0604020202020204" pitchFamily="34" charset="0"/>
                  </a:rPr>
                  <a:t>[km] </a:t>
                </a:r>
              </a:p>
            </c:rich>
          </c:tx>
          <c:layout>
            <c:manualLayout>
              <c:xMode val="edge"/>
              <c:yMode val="edge"/>
              <c:x val="0.41438851487975009"/>
              <c:y val="0.82920692345889302"/>
            </c:manualLayout>
          </c:layout>
          <c:overlay val="0"/>
          <c:spPr>
            <a:noFill/>
            <a:ln w="25400">
              <a:noFill/>
            </a:ln>
          </c:spPr>
        </c:title>
        <c:numFmt formatCode="0" sourceLinked="0"/>
        <c:majorTickMark val="in"/>
        <c:minorTickMark val="none"/>
        <c:tickLblPos val="nextTo"/>
        <c:spPr>
          <a:ln w="1270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2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fr-FR"/>
          </a:p>
        </c:txPr>
        <c:crossAx val="140659520"/>
        <c:crossesAt val="1.0000000000000011E-2"/>
        <c:crossBetween val="midCat"/>
      </c:valAx>
      <c:valAx>
        <c:axId val="140659520"/>
        <c:scaling>
          <c:logBase val="10"/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 sz="925" b="1" i="0" u="none" strike="noStrike" baseline="0">
                    <a:solidFill>
                      <a:srgbClr val="000000"/>
                    </a:solidFill>
                    <a:latin typeface="Arial"/>
                    <a:ea typeface="Arial"/>
                    <a:cs typeface="Arial"/>
                  </a:defRPr>
                </a:pPr>
                <a:r>
                  <a:rPr lang="en-US" sz="930" b="1" i="0" baseline="0"/>
                  <a:t>Thickness [cm]</a:t>
                </a:r>
                <a:endParaRPr lang="en-US" sz="930"/>
              </a:p>
            </c:rich>
          </c:tx>
          <c:layout>
            <c:manualLayout>
              <c:xMode val="edge"/>
              <c:yMode val="edge"/>
              <c:x val="3.7603777624473846E-2"/>
              <c:y val="0.2509292757324259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in"/>
        <c:minorTickMark val="none"/>
        <c:tickLblPos val="nextTo"/>
        <c:spPr>
          <a:ln w="1270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2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fr-FR"/>
          </a:p>
        </c:txPr>
        <c:crossAx val="140657792"/>
        <c:crosses val="autoZero"/>
        <c:crossBetween val="midCat"/>
      </c:valAx>
      <c:spPr>
        <a:noFill/>
        <a:ln w="12700">
          <a:solidFill>
            <a:srgbClr val="000000"/>
          </a:solidFill>
          <a:prstDash val="solid"/>
        </a:ln>
      </c:spPr>
    </c:plotArea>
    <c:legend>
      <c:legendPos val="r"/>
      <c:legendEntry>
        <c:idx val="0"/>
        <c:delete val="1"/>
      </c:legendEntry>
      <c:legendEntry>
        <c:idx val="1"/>
        <c:delete val="1"/>
      </c:legendEntry>
      <c:layout>
        <c:manualLayout>
          <c:xMode val="edge"/>
          <c:yMode val="edge"/>
          <c:x val="0.18959812164811471"/>
          <c:y val="0.47134587650227938"/>
          <c:w val="0.28051983629240651"/>
          <c:h val="0.12738853503184713"/>
        </c:manualLayout>
      </c:layout>
      <c:overlay val="0"/>
      <c:spPr>
        <a:noFill/>
        <a:ln w="25400">
          <a:noFill/>
        </a:ln>
      </c:spPr>
      <c:txPr>
        <a:bodyPr/>
        <a:lstStyle/>
        <a:p>
          <a:pPr>
            <a:defRPr sz="780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rgbClr val="FFFFFF"/>
    </a:solidFill>
    <a:ln w="9525">
      <a:noFill/>
    </a:ln>
  </c:spPr>
  <c:txPr>
    <a:bodyPr/>
    <a:lstStyle/>
    <a:p>
      <a:pPr>
        <a:defRPr sz="925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1100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Geneva University</Company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</dc:creator>
  <cp:lastModifiedBy>Costanza Bonadonna</cp:lastModifiedBy>
  <cp:revision>20</cp:revision>
  <cp:lastPrinted>2015-10-22T15:12:00Z</cp:lastPrinted>
  <dcterms:created xsi:type="dcterms:W3CDTF">2018-11-04T17:40:00Z</dcterms:created>
  <dcterms:modified xsi:type="dcterms:W3CDTF">2020-11-11T16:26:00Z</dcterms:modified>
</cp:coreProperties>
</file>