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Hydrogen int</w:t>
      </w:r>
      <w:r>
        <w:rPr>
          <w:rFonts w:ascii="Times New Roman" w:hAnsi="Times New Roman" w:eastAsia="Times New Roman" w:cs="Times New Roman"/>
          <w:b/>
          <w:bCs/>
          <w:sz w:val="24"/>
          <w:szCs w:val="24"/>
        </w:rPr>
        <w:t xml:space="preserve">ernal combustion engine CHP in</w:t>
      </w:r>
      <w:bookmarkStart w:id="0" w:name="_GoBack"/>
      <w:r/>
      <w:bookmarkEnd w:id="0"/>
      <w:r>
        <w:rPr>
          <w:rFonts w:ascii="Times New Roman" w:hAnsi="Times New Roman" w:eastAsia="Times New Roman" w:cs="Times New Roman"/>
          <w:b/>
          <w:bCs/>
          <w:sz w:val="24"/>
          <w:szCs w:val="24"/>
        </w:rPr>
        <w:t xml:space="preserve"> decentralized energy systems: </w:t>
      </w:r>
      <w:r>
        <w:rPr>
          <w:rFonts w:ascii="Times New Roman" w:hAnsi="Times New Roman" w:eastAsia="Times New Roman" w:cs="Times New Roman"/>
          <w:b/>
          <w:bCs/>
          <w:sz w:val="24"/>
          <w:szCs w:val="24"/>
        </w:rPr>
        <w:br/>
        <w:t xml:space="preserve">Towards TEA-LCA in an open-source framework</w:t>
      </w:r>
      <w:r>
        <w:rPr>
          <w:rFonts w:ascii="Times New Roman" w:hAnsi="Times New Roman" w:eastAsia="Times New Roman" w:cs="Times New Roman"/>
          <w:sz w:val="24"/>
          <w:szCs w:val="24"/>
        </w:rPr>
      </w:r>
    </w:p>
    <w:p>
      <w:pPr>
        <w:pBdr/>
        <w:spacing w:after="0"/>
        <w:ind/>
        <w:jc w:val="center"/>
        <w:rPr>
          <w:rFonts w:ascii="Times New Roman" w:hAnsi="Times New Roman" w:cs="Times New Roman" w:eastAsiaTheme="majorEastAsia"/>
          <w:i/>
          <w:vertAlign w:val="superscript"/>
        </w:rPr>
      </w:pPr>
      <w:r>
        <w:rPr>
          <w:rFonts w:ascii="Times New Roman" w:hAnsi="Times New Roman" w:cs="Times New Roman" w:eastAsiaTheme="majorEastAsia"/>
          <w:i/>
        </w:rPr>
        <w:t xml:space="preserve">Paul Robineau</w:t>
      </w:r>
      <w:r>
        <w:rPr>
          <w:rFonts w:ascii="Times New Roman" w:hAnsi="Times New Roman" w:cs="Times New Roman" w:eastAsiaTheme="majorEastAsia"/>
          <w:i/>
          <w:vertAlign w:val="superscript"/>
        </w:rPr>
        <w:t xml:space="preserve">1</w:t>
      </w:r>
      <w:r>
        <w:rPr>
          <w:rFonts w:ascii="Times New Roman" w:hAnsi="Times New Roman" w:cs="Times New Roman" w:eastAsiaTheme="majorEastAsia"/>
          <w:i/>
          <w:vertAlign w:val="superscript"/>
        </w:rPr>
        <w:t xml:space="preserve">*</w:t>
      </w:r>
      <w:r>
        <w:rPr>
          <w:rFonts w:ascii="Times New Roman" w:hAnsi="Times New Roman" w:cs="Times New Roman" w:eastAsiaTheme="majorEastAsia"/>
          <w:i/>
        </w:rPr>
        <w:t xml:space="preserve">, Naqib Salim</w:t>
      </w:r>
      <w:r>
        <w:rPr>
          <w:rFonts w:ascii="Times New Roman" w:hAnsi="Times New Roman" w:cs="Times New Roman" w:eastAsiaTheme="majorEastAsia"/>
          <w:i/>
          <w:vertAlign w:val="superscript"/>
        </w:rPr>
        <w:t xml:space="preserve">2</w:t>
      </w:r>
      <w:r>
        <w:rPr>
          <w:rFonts w:ascii="Times New Roman" w:hAnsi="Times New Roman" w:cs="Times New Roman" w:eastAsiaTheme="majorEastAsia"/>
          <w:i/>
        </w:rPr>
        <w:t xml:space="preserve">, Maria Boltoeva</w:t>
      </w:r>
      <w:r>
        <w:rPr>
          <w:rFonts w:ascii="Times New Roman" w:hAnsi="Times New Roman" w:cs="Times New Roman" w:eastAsiaTheme="majorEastAsia"/>
          <w:i/>
          <w:vertAlign w:val="superscript"/>
        </w:rPr>
        <w:t xml:space="preserve">1</w:t>
      </w:r>
      <w:r>
        <w:rPr>
          <w:rFonts w:ascii="Times New Roman" w:hAnsi="Times New Roman" w:cs="Times New Roman" w:eastAsiaTheme="majorEastAsia"/>
          <w:i/>
        </w:rPr>
        <w:t xml:space="preserve">, </w:t>
      </w:r>
      <w:r>
        <w:rPr>
          <w:rFonts w:ascii="Times New Roman" w:hAnsi="Times New Roman" w:cs="Times New Roman"/>
          <w:i/>
        </w:rPr>
        <w:t xml:space="preserve">Nicolas Arbor</w:t>
      </w:r>
      <w:r>
        <w:rPr>
          <w:rFonts w:ascii="Times New Roman" w:hAnsi="Times New Roman" w:cs="Times New Roman"/>
          <w:i/>
          <w:vertAlign w:val="superscript"/>
        </w:rPr>
        <w:t xml:space="preserve">1</w:t>
      </w:r>
      <w:r>
        <w:rPr>
          <w:rFonts w:ascii="Times New Roman" w:hAnsi="Times New Roman" w:cs="Times New Roman" w:eastAsiaTheme="majorEastAsia"/>
          <w:i/>
        </w:rPr>
        <w:t xml:space="preserve">, Maurice Kettner</w:t>
      </w:r>
      <w:r>
        <w:rPr>
          <w:rFonts w:ascii="Times New Roman" w:hAnsi="Times New Roman" w:cs="Times New Roman" w:eastAsiaTheme="majorEastAsia"/>
          <w:i/>
          <w:vertAlign w:val="superscript"/>
        </w:rPr>
        <w:t xml:space="preserve">2</w:t>
      </w:r>
      <w:r>
        <w:rPr>
          <w:rFonts w:ascii="Times New Roman" w:hAnsi="Times New Roman" w:cs="Times New Roman" w:eastAsiaTheme="majorEastAsia"/>
          <w:i/>
        </w:rPr>
        <w:t xml:space="preserve">, Gaetana Quaranta</w:t>
      </w:r>
      <w:r>
        <w:rPr>
          <w:rFonts w:ascii="Times New Roman" w:hAnsi="Times New Roman" w:cs="Times New Roman" w:eastAsiaTheme="majorEastAsia"/>
          <w:i/>
          <w:vertAlign w:val="superscript"/>
        </w:rPr>
        <w:t xml:space="preserve">1</w:t>
      </w:r>
      <w:r>
        <w:rPr>
          <w:rFonts w:ascii="Times New Roman" w:hAnsi="Times New Roman" w:cs="Times New Roman" w:eastAsiaTheme="majorEastAsia"/>
          <w:i/>
          <w:vertAlign w:val="superscript"/>
        </w:rPr>
      </w:r>
    </w:p>
    <w:p>
      <w:pPr>
        <w:pBdr/>
        <w:spacing w:after="0"/>
        <w:ind/>
        <w:jc w:val="center"/>
        <w:rPr/>
      </w:pPr>
      <w:r/>
      <w:r/>
    </w:p>
    <w:p>
      <w:pPr>
        <w:pBdr/>
        <w:spacing w:after="0"/>
        <w:ind/>
        <w:rPr>
          <w:rStyle w:val="796"/>
          <w:rFonts w:ascii="Times New Roman" w:hAnsi="Times New Roman" w:cs="Times New Roman"/>
          <w:b w:val="0"/>
        </w:rPr>
      </w:pPr>
      <w:r>
        <w:rPr>
          <w:rStyle w:val="796"/>
          <w:rFonts w:ascii="Times New Roman" w:hAnsi="Times New Roman" w:cs="Times New Roman"/>
          <w:b w:val="0"/>
          <w:vertAlign w:val="superscript"/>
        </w:rPr>
        <w:t xml:space="preserve">1 </w:t>
      </w:r>
      <w:r>
        <w:rPr>
          <w:rStyle w:val="796"/>
          <w:rFonts w:ascii="Times New Roman" w:hAnsi="Times New Roman" w:cs="Times New Roman"/>
          <w:b w:val="0"/>
        </w:rPr>
        <w:t xml:space="preserve">Université de Strasbourg, CNRS, IPHC UMR 7178, F-67000 Strasbourg, France</w:t>
      </w:r>
      <w:r>
        <w:rPr>
          <w:rStyle w:val="796"/>
          <w:rFonts w:ascii="Times New Roman" w:hAnsi="Times New Roman" w:cs="Times New Roman"/>
          <w:b w:val="0"/>
        </w:rPr>
      </w:r>
    </w:p>
    <w:p>
      <w:pPr>
        <w:pBdr/>
        <w:spacing w:after="0"/>
        <w:ind/>
        <w:jc w:val="left"/>
        <w:rPr>
          <w:rStyle w:val="796"/>
          <w:rFonts w:ascii="Times New Roman" w:hAnsi="Times New Roman" w:cs="Times New Roman"/>
          <w:b w:val="0"/>
        </w:rPr>
      </w:pPr>
      <w:r>
        <w:rPr>
          <w:rStyle w:val="796"/>
          <w:rFonts w:ascii="Times New Roman" w:hAnsi="Times New Roman" w:cs="Times New Roman"/>
          <w:b w:val="0"/>
        </w:rPr>
        <w:t xml:space="preserve">2 Institute of Refrigeration, Air-Conditioning and Environmental Engineering, Karlsruhe University of Applied Sciences, Germany</w:t>
      </w:r>
      <w:r>
        <w:rPr>
          <w:rStyle w:val="796"/>
          <w:rFonts w:ascii="Times New Roman" w:hAnsi="Times New Roman" w:cs="Times New Roman"/>
          <w:b w:val="0"/>
        </w:rPr>
      </w:r>
    </w:p>
    <w:p>
      <w:pPr>
        <w:pBdr/>
        <w:spacing w:after="0"/>
        <w:ind/>
        <w:rPr>
          <w:rFonts w:ascii="Times New Roman" w:hAnsi="Times New Roman" w:cs="Times New Roman"/>
          <w:vertAlign w:val="superscript"/>
        </w:rPr>
      </w:pPr>
      <w:r>
        <w:rPr>
          <w:rFonts w:ascii="Times New Roman" w:hAnsi="Times New Roman" w:cs="Times New Roman"/>
          <w:vertAlign w:val="superscript"/>
        </w:rPr>
      </w:r>
      <w:r>
        <w:rPr>
          <w:rFonts w:ascii="Times New Roman" w:hAnsi="Times New Roman" w:cs="Times New Roman"/>
          <w:vertAlign w:val="superscript"/>
        </w:rPr>
      </w:r>
    </w:p>
    <w:p>
      <w:pPr>
        <w:pBdr/>
        <w:spacing w:after="0"/>
        <w:ind/>
        <w:rPr>
          <w:rFonts w:ascii="Times New Roman" w:hAnsi="Times New Roman" w:cs="Times New Roman"/>
          <w:vertAlign w:val="superscript"/>
        </w:rPr>
      </w:pPr>
      <w:r>
        <w:rPr>
          <w:rFonts w:ascii="Times New Roman" w:hAnsi="Times New Roman" w:cs="Times New Roman"/>
          <w:vertAlign w:val="superscript"/>
        </w:rPr>
        <w:t xml:space="preserve">*</w:t>
      </w:r>
      <w:r>
        <w:rPr>
          <w:rFonts w:ascii="Times New Roman" w:hAnsi="Times New Roman" w:cs="Times New Roman"/>
        </w:rPr>
        <w:t xml:space="preserve">Corresponding author</w:t>
      </w:r>
      <w:r>
        <w:rPr>
          <w:rFonts w:ascii="Times New Roman" w:hAnsi="Times New Roman" w:cs="Times New Roman"/>
          <w:vertAlign w:val="superscript"/>
        </w:rPr>
      </w:r>
    </w:p>
    <w:p>
      <w:pPr>
        <w:pBdr/>
        <w:spacing w:after="0"/>
        <w:ind/>
        <w:jc w:val="left"/>
        <w:rPr>
          <w:rFonts w:ascii="Times New Roman" w:hAnsi="Times New Roman" w:cs="Times New Roman"/>
          <w:i/>
        </w:rPr>
      </w:pPr>
      <w:r>
        <w:rPr>
          <w:rFonts w:ascii="Times New Roman" w:hAnsi="Times New Roman" w:cs="Times New Roman"/>
        </w:rPr>
        <w:t xml:space="preserve">E-mail addres</w:t>
      </w:r>
      <w:r>
        <w:rPr>
          <w:rFonts w:ascii="Times New Roman" w:hAnsi="Times New Roman" w:cs="Times New Roman"/>
        </w:rPr>
        <w:t xml:space="preserve">ses and ORCID IDs:</w:t>
      </w:r>
      <w:r>
        <w:rPr>
          <w:rFonts w:ascii="Times New Roman" w:hAnsi="Times New Roman" w:cs="Times New Roman"/>
        </w:rPr>
        <w:br/>
      </w:r>
      <w:hyperlink r:id="rId11" w:tooltip="mailto:paul.robineau@iphc.cnrs.fr" w:history="1">
        <w:r>
          <w:rPr>
            <w:rStyle w:val="795"/>
            <w:rFonts w:ascii="Times New Roman" w:hAnsi="Times New Roman" w:cs="Times New Roman"/>
            <w:i/>
          </w:rPr>
          <w:t xml:space="preserve">paul.robineau@iphc.cnrs.fr</w:t>
        </w:r>
      </w:hyperlink>
      <w:r>
        <w:rPr>
          <w:rFonts w:ascii="Times New Roman" w:hAnsi="Times New Roman" w:cs="Times New Roman"/>
          <w:i/>
        </w:rPr>
        <w:t xml:space="preserve">, </w:t>
      </w:r>
      <w:hyperlink r:id="rId12" w:tooltip="https://orcid.org/0000-0002-2198-3689" w:history="1">
        <w:r>
          <w:rPr>
            <w:rStyle w:val="795"/>
            <w:rFonts w:ascii="Times New Roman" w:hAnsi="Times New Roman" w:cs="Times New Roman"/>
            <w:i/>
          </w:rPr>
          <w:t xml:space="preserve">0000-0002-2198-3689</w:t>
        </w:r>
      </w:hyperlink>
      <w:r>
        <w:rPr>
          <w:rFonts w:ascii="Times New Roman" w:hAnsi="Times New Roman" w:cs="Times New Roman"/>
          <w:i/>
        </w:rPr>
        <w:t xml:space="preserve"> </w:t>
      </w:r>
      <w:r>
        <w:rPr>
          <w:rFonts w:ascii="Times New Roman" w:hAnsi="Times New Roman" w:cs="Times New Roman"/>
          <w:i/>
        </w:rPr>
        <w:t xml:space="preserve">(P. Robineau)</w:t>
      </w:r>
      <w:r>
        <w:rPr>
          <w:rFonts w:ascii="Times New Roman" w:hAnsi="Times New Roman" w:cs="Times New Roman"/>
          <w:i/>
        </w:rPr>
      </w:r>
    </w:p>
    <w:p>
      <w:pPr>
        <w:pBdr/>
        <w:spacing w:after="0"/>
        <w:ind/>
        <w:jc w:val="left"/>
        <w:rPr>
          <w:rFonts w:ascii="Times New Roman" w:hAnsi="Times New Roman" w:cs="Times New Roman"/>
          <w:i/>
          <w:lang w:val="fr-FR"/>
        </w:rPr>
      </w:pPr>
      <w:r/>
      <w:hyperlink r:id="rId13" w:tooltip="mailto:muhamad_naqib.md_salim@h-ka.de" w:history="1">
        <w:r>
          <w:rPr>
            <w:rStyle w:val="795"/>
            <w:rFonts w:ascii="Times New Roman" w:hAnsi="Times New Roman" w:cs="Times New Roman"/>
            <w:i/>
            <w:lang w:val="fr-FR"/>
          </w:rPr>
          <w:t xml:space="preserve">muhamad_naqib.md_salim@h-ka.de</w:t>
        </w:r>
      </w:hyperlink>
      <w:r>
        <w:rPr>
          <w:rFonts w:ascii="Times New Roman" w:hAnsi="Times New Roman" w:cs="Times New Roman"/>
          <w:lang w:val="fr-FR"/>
        </w:rPr>
        <w:t xml:space="preserve"> </w:t>
      </w:r>
      <w:r>
        <w:rPr>
          <w:rFonts w:ascii="Times New Roman" w:hAnsi="Times New Roman" w:cs="Times New Roman"/>
          <w:i/>
          <w:lang w:val="fr-FR"/>
        </w:rPr>
        <w:t xml:space="preserve">(N. Salim)</w:t>
      </w:r>
      <w:r>
        <w:rPr>
          <w:rFonts w:ascii="Times New Roman" w:hAnsi="Times New Roman" w:cs="Times New Roman"/>
          <w:i/>
          <w:lang w:val="fr-FR"/>
        </w:rPr>
      </w:r>
    </w:p>
    <w:p>
      <w:pPr>
        <w:pBdr/>
        <w:spacing w:after="0"/>
        <w:ind/>
        <w:jc w:val="left"/>
        <w:rPr>
          <w:rFonts w:ascii="Times New Roman" w:hAnsi="Times New Roman" w:cs="Times New Roman"/>
          <w:i/>
        </w:rPr>
      </w:pPr>
      <w:r/>
      <w:hyperlink r:id="rId14" w:tooltip="mailto:maria.boltoeva@iphc.cnrs.fr" w:history="1">
        <w:r>
          <w:rPr>
            <w:rStyle w:val="795"/>
            <w:rFonts w:ascii="Times New Roman" w:hAnsi="Times New Roman" w:cs="Times New Roman"/>
            <w:i/>
          </w:rPr>
          <w:t xml:space="preserve">maria.boltoeva@iphc.cnrs.fr</w:t>
        </w:r>
      </w:hyperlink>
      <w:r>
        <w:rPr>
          <w:rFonts w:ascii="Times New Roman" w:hAnsi="Times New Roman" w:cs="Times New Roman"/>
          <w:i/>
        </w:rPr>
        <w:t xml:space="preserve">, </w:t>
      </w:r>
      <w:hyperlink r:id="rId15" w:tooltip="https://orcid.org/0000-0002-0330-8153" w:history="1">
        <w:r>
          <w:rPr>
            <w:rStyle w:val="795"/>
            <w:rFonts w:ascii="Times New Roman" w:hAnsi="Times New Roman" w:cs="Times New Roman"/>
            <w:i/>
          </w:rPr>
          <w:t xml:space="preserve">0000-0002-0330-8153</w:t>
        </w:r>
      </w:hyperlink>
      <w:r>
        <w:rPr>
          <w:rFonts w:ascii="Times New Roman" w:hAnsi="Times New Roman" w:cs="Times New Roman"/>
          <w:i/>
        </w:rPr>
        <w:t xml:space="preserve"> </w:t>
      </w:r>
      <w:r>
        <w:rPr>
          <w:rFonts w:ascii="Times New Roman" w:hAnsi="Times New Roman" w:cs="Times New Roman"/>
          <w:i/>
        </w:rPr>
        <w:t xml:space="preserve">(M. Boltoeva)</w:t>
      </w:r>
      <w:r>
        <w:rPr>
          <w:rFonts w:ascii="Times New Roman" w:hAnsi="Times New Roman" w:cs="Times New Roman"/>
          <w:i/>
        </w:rPr>
      </w:r>
    </w:p>
    <w:p>
      <w:pPr>
        <w:pBdr/>
        <w:spacing w:after="0"/>
        <w:ind/>
        <w:jc w:val="left"/>
        <w:rPr>
          <w:rFonts w:ascii="Times New Roman" w:hAnsi="Times New Roman" w:cs="Times New Roman"/>
          <w:i/>
        </w:rPr>
      </w:pPr>
      <w:r/>
      <w:hyperlink r:id="rId16" w:tooltip="mailto:maurice.kettner@h-ka.de" w:history="1">
        <w:r>
          <w:rPr>
            <w:rStyle w:val="795"/>
            <w:rFonts w:ascii="Times New Roman" w:hAnsi="Times New Roman" w:cs="Times New Roman"/>
            <w:i/>
          </w:rPr>
          <w:t xml:space="preserve">maurice.kettner@h-ka.de</w:t>
        </w:r>
      </w:hyperlink>
      <w:r>
        <w:rPr>
          <w:rFonts w:ascii="Times New Roman" w:hAnsi="Times New Roman" w:cs="Times New Roman"/>
          <w:i/>
        </w:rPr>
        <w:t xml:space="preserve">, </w:t>
      </w:r>
      <w:hyperlink r:id="rId17" w:tooltip="https://orcid.org/0000-0001-6718-6119" w:history="1">
        <w:r>
          <w:rPr>
            <w:rStyle w:val="795"/>
            <w:rFonts w:ascii="Times New Roman" w:hAnsi="Times New Roman" w:cs="Times New Roman"/>
            <w:i/>
          </w:rPr>
          <w:t xml:space="preserve">0000-0001-6718-6119</w:t>
        </w:r>
      </w:hyperlink>
      <w:r>
        <w:rPr>
          <w:rFonts w:ascii="Times New Roman" w:hAnsi="Times New Roman" w:cs="Times New Roman"/>
          <w:i/>
        </w:rPr>
        <w:t xml:space="preserve"> </w:t>
      </w:r>
      <w:r>
        <w:rPr>
          <w:rFonts w:ascii="Times New Roman" w:hAnsi="Times New Roman" w:cs="Times New Roman"/>
          <w:i/>
        </w:rPr>
        <w:t xml:space="preserve">(M. Kettner)</w:t>
      </w:r>
      <w:r>
        <w:rPr>
          <w:rFonts w:ascii="Times New Roman" w:hAnsi="Times New Roman" w:cs="Times New Roman"/>
          <w:i/>
        </w:rPr>
      </w:r>
    </w:p>
    <w:p>
      <w:pPr>
        <w:pBdr/>
        <w:spacing w:after="0"/>
        <w:ind/>
        <w:jc w:val="left"/>
        <w:rPr>
          <w:rFonts w:ascii="Times New Roman" w:hAnsi="Times New Roman" w:cs="Times New Roman"/>
          <w:i/>
        </w:rPr>
      </w:pPr>
      <w:r/>
      <w:hyperlink r:id="rId18" w:tooltip="mailto:nicolas.arbor@iphc.cnrs.fr" w:history="1">
        <w:r>
          <w:rPr>
            <w:rStyle w:val="795"/>
            <w:rFonts w:ascii="Times New Roman" w:hAnsi="Times New Roman" w:cs="Times New Roman"/>
            <w:i/>
          </w:rPr>
          <w:t xml:space="preserve">nicolas.arbor@iphc.cnrs.fr</w:t>
        </w:r>
      </w:hyperlink>
      <w:r>
        <w:rPr>
          <w:rFonts w:ascii="Times New Roman" w:hAnsi="Times New Roman" w:cs="Times New Roman"/>
          <w:i/>
        </w:rPr>
        <w:t xml:space="preserve">, </w:t>
      </w:r>
      <w:hyperlink r:id="rId19" w:tooltip="https://orcid.org/0000-0001-6457-1767" w:history="1">
        <w:r>
          <w:rPr>
            <w:rStyle w:val="795"/>
            <w:rFonts w:ascii="Times New Roman" w:hAnsi="Times New Roman" w:cs="Times New Roman"/>
            <w:i/>
          </w:rPr>
          <w:t xml:space="preserve">0000-0001-6457-1767</w:t>
        </w:r>
      </w:hyperlink>
      <w:r>
        <w:rPr>
          <w:rFonts w:ascii="Times New Roman" w:hAnsi="Times New Roman" w:cs="Times New Roman"/>
          <w:i/>
        </w:rPr>
        <w:t xml:space="preserve"> (N. Arbor)</w:t>
      </w:r>
      <w:r>
        <w:rPr>
          <w:rFonts w:ascii="Times New Roman" w:hAnsi="Times New Roman" w:cs="Times New Roman"/>
          <w:i/>
        </w:rPr>
      </w:r>
    </w:p>
    <w:p>
      <w:pPr>
        <w:pBdr/>
        <w:spacing w:after="0"/>
        <w:ind/>
        <w:jc w:val="left"/>
        <w:rPr/>
      </w:pPr>
      <w:r/>
      <w:hyperlink r:id="rId20" w:tooltip="mailto:quaranta@unistra.fr" w:history="1">
        <w:r>
          <w:rPr>
            <w:rStyle w:val="795"/>
            <w:rFonts w:ascii="Times New Roman" w:hAnsi="Times New Roman" w:cs="Times New Roman"/>
            <w:i/>
          </w:rPr>
          <w:t xml:space="preserve">quaranta@unistra.fr</w:t>
        </w:r>
      </w:hyperlink>
      <w:r>
        <w:rPr>
          <w:rFonts w:ascii="Times New Roman" w:hAnsi="Times New Roman" w:cs="Times New Roman"/>
          <w:i/>
        </w:rPr>
        <w:t xml:space="preserve">, </w:t>
      </w:r>
      <w:hyperlink r:id="rId21" w:tooltip="https://orcid.org/0000-0003-4867-0030" w:history="1">
        <w:r>
          <w:rPr>
            <w:rStyle w:val="795"/>
            <w:rFonts w:ascii="Times New Roman" w:hAnsi="Times New Roman" w:cs="Times New Roman"/>
            <w:i/>
          </w:rPr>
          <w:t xml:space="preserve">0000-0003-4867-0030</w:t>
        </w:r>
      </w:hyperlink>
      <w:r>
        <w:rPr>
          <w:rFonts w:ascii="Times New Roman" w:hAnsi="Times New Roman" w:cs="Times New Roman"/>
          <w:i/>
        </w:rPr>
        <w:t xml:space="preserve"> (G. Quaranta)</w:t>
      </w:r>
      <w:r/>
    </w:p>
    <w:p>
      <w:pPr>
        <w:pBdr/>
        <w:spacing w:after="0"/>
        <w:ind/>
        <w:jc w:val="left"/>
        <w:rPr/>
      </w:pPr>
      <w:r/>
      <w:r/>
    </w:p>
    <w:p>
      <w:pPr>
        <w:pStyle w:val="798"/>
        <w:pBdr/>
        <w:spacing/>
        <w:ind/>
        <w:jc w:val="center"/>
        <w:rPr>
          <w:b/>
        </w:rPr>
      </w:pPr>
      <w:r>
        <w:rPr>
          <w:b/>
        </w:rPr>
        <w:t xml:space="preserve">Life-cycle inventory report</w:t>
      </w:r>
      <w:r>
        <w:rPr>
          <w:b/>
        </w:rPr>
      </w:r>
    </w:p>
    <w:p>
      <w:pPr>
        <w:pBdr/>
        <w:spacing/>
        <w:ind/>
        <w:rPr/>
      </w:pPr>
      <w:r/>
      <w:r/>
    </w:p>
    <w:p>
      <w:pPr>
        <w:pBdr/>
        <w:spacing w:after="160" w:line="259" w:lineRule="auto"/>
        <w:ind/>
        <w:rPr>
          <w:rStyle w:val="800"/>
          <w:rFonts w:ascii="Times New Roman" w:hAnsi="Times New Roman" w:cs="Times New Roman"/>
          <w:b w:val="0"/>
        </w:rPr>
      </w:pPr>
      <w:r>
        <w:rPr>
          <w:rStyle w:val="800"/>
          <w:rFonts w:ascii="Times New Roman" w:hAnsi="Times New Roman" w:cs="Times New Roman"/>
          <w:b w:val="0"/>
        </w:rPr>
        <w:t xml:space="preserve">For readability and foster transparency, t</w:t>
      </w:r>
      <w:r>
        <w:rPr>
          <w:rStyle w:val="800"/>
          <w:rFonts w:ascii="Times New Roman" w:hAnsi="Times New Roman" w:cs="Times New Roman"/>
          <w:b w:val="0"/>
        </w:rPr>
        <w:t xml:space="preserve">his document regroups</w:t>
      </w:r>
      <w:r>
        <w:rPr>
          <w:rStyle w:val="800"/>
          <w:rFonts w:ascii="Times New Roman" w:hAnsi="Times New Roman" w:cs="Times New Roman"/>
          <w:b w:val="0"/>
        </w:rPr>
        <w:t xml:space="preserve"> and slightly format</w:t>
      </w:r>
      <w:r>
        <w:rPr>
          <w:rStyle w:val="800"/>
          <w:rFonts w:ascii="Times New Roman" w:hAnsi="Times New Roman" w:cs="Times New Roman"/>
          <w:b w:val="0"/>
        </w:rPr>
        <w:t xml:space="preserve"> </w:t>
      </w:r>
      <w:r>
        <w:rPr>
          <w:rStyle w:val="800"/>
          <w:rFonts w:ascii="Times New Roman" w:hAnsi="Times New Roman" w:cs="Times New Roman"/>
          <w:b w:val="0"/>
        </w:rPr>
        <w:t xml:space="preserve">the notes available in the description cell of the activities created in Activity Browser to create our LCI. They are </w:t>
      </w:r>
      <w:r>
        <w:rPr>
          <w:rStyle w:val="800"/>
          <w:rFonts w:ascii="Times New Roman" w:hAnsi="Times New Roman" w:cs="Times New Roman"/>
          <w:b w:val="0"/>
        </w:rPr>
        <w:t xml:space="preserve">the same </w:t>
      </w:r>
      <w:r>
        <w:rPr>
          <w:rStyle w:val="800"/>
          <w:rFonts w:ascii="Times New Roman" w:hAnsi="Times New Roman" w:cs="Times New Roman"/>
          <w:b w:val="0"/>
        </w:rPr>
        <w:t xml:space="preserve">available in the comment cell of the exported Excel files</w:t>
      </w:r>
      <w:r>
        <w:rPr>
          <w:rStyle w:val="800"/>
          <w:rFonts w:ascii="Times New Roman" w:hAnsi="Times New Roman" w:cs="Times New Roman"/>
          <w:b w:val="0"/>
        </w:rPr>
        <w:t xml:space="preserve">, associated to each of the relevant activities</w:t>
      </w:r>
      <w:r>
        <w:rPr>
          <w:rStyle w:val="800"/>
          <w:rFonts w:ascii="Times New Roman" w:hAnsi="Times New Roman" w:cs="Times New Roman"/>
          <w:b w:val="0"/>
        </w:rPr>
        <w:t xml:space="preserve">.</w:t>
      </w:r>
      <w:r>
        <w:rPr>
          <w:rStyle w:val="800"/>
          <w:rFonts w:ascii="Times New Roman" w:hAnsi="Times New Roman" w:cs="Times New Roman"/>
          <w:b w:val="0"/>
        </w:rPr>
      </w:r>
    </w:p>
    <w:p>
      <w:pPr>
        <w:pBdr/>
        <w:spacing w:after="160" w:line="259" w:lineRule="auto"/>
        <w:ind/>
        <w:jc w:val="left"/>
        <w:rPr>
          <w:rStyle w:val="800"/>
        </w:rPr>
      </w:pPr>
      <w:r/>
      <w:r>
        <w:rPr>
          <w:rStyle w:val="800"/>
        </w:rPr>
      </w:r>
    </w:p>
    <w:sdt>
      <w:sdtPr>
        <w15:appearance w15:val="boundingBox"/>
        <w:id w:val="-1112355543"/>
        <w:docPartObj>
          <w:docPartGallery w:val="Table of Contents"/>
          <w:docPartUnique w:val="true"/>
        </w:docPartObj>
        <w:rPr>
          <w:rFonts w:asciiTheme="minorHAnsi" w:hAnsiTheme="minorHAnsi" w:eastAsiaTheme="minorEastAsia" w:cstheme="minorBidi"/>
          <w:b/>
          <w:bCs/>
          <w:i/>
          <w:sz w:val="20"/>
          <w:szCs w:val="20"/>
          <w:lang w:val="en-US" w:eastAsia="en-US"/>
        </w:rPr>
      </w:sdtPr>
      <w:sdtContent>
        <w:p>
          <w:pPr>
            <w:pStyle w:val="809"/>
            <w:pBdr/>
            <w:spacing/>
            <w:ind/>
            <w:rPr>
              <w:i/>
              <w:sz w:val="24"/>
              <w:szCs w:val="24"/>
            </w:rPr>
          </w:pPr>
          <w:r>
            <w:rPr>
              <w:i/>
              <w:sz w:val="24"/>
              <w:szCs w:val="24"/>
            </w:rPr>
            <w:t xml:space="preserve">Content</w:t>
          </w:r>
          <w:r>
            <w:rPr>
              <w:i/>
              <w:sz w:val="24"/>
              <w:szCs w:val="24"/>
            </w:rPr>
          </w:r>
        </w:p>
        <w:p>
          <w:pPr>
            <w:pBdr/>
            <w:spacing/>
            <w:ind/>
            <w:rPr>
              <w:sz w:val="24"/>
              <w:szCs w:val="24"/>
              <w:lang w:val="fr-FR" w:eastAsia="fr-FR"/>
            </w:rPr>
          </w:pPr>
          <w:r>
            <w:rPr>
              <w:sz w:val="24"/>
              <w:szCs w:val="24"/>
              <w:lang w:val="fr-FR" w:eastAsia="fr-FR"/>
            </w:rPr>
          </w:r>
          <w:r>
            <w:rPr>
              <w:sz w:val="24"/>
              <w:szCs w:val="24"/>
              <w:lang w:val="fr-FR" w:eastAsia="fr-FR"/>
            </w:rPr>
          </w:r>
        </w:p>
        <w:p>
          <w:pPr>
            <w:pStyle w:val="810"/>
            <w:pBdr/>
            <w:tabs>
              <w:tab w:val="right" w:leader="dot" w:pos="9062"/>
            </w:tabs>
            <w:spacing/>
            <w:ind/>
            <w:rPr>
              <w:sz w:val="24"/>
              <w:szCs w:val="24"/>
              <w:lang w:val="fr-FR" w:eastAsia="fr-FR"/>
            </w:rPr>
          </w:pPr>
          <w:r>
            <w:rPr>
              <w:sz w:val="24"/>
              <w:szCs w:val="24"/>
            </w:rPr>
            <w:fldChar w:fldCharType="begin"/>
          </w:r>
          <w:r>
            <w:rPr>
              <w:sz w:val="24"/>
              <w:szCs w:val="24"/>
              <w:lang w:val="fr-FR"/>
            </w:rPr>
            <w:instrText xml:space="preserve"> TOC \o "1-3" \h \z \u </w:instrText>
          </w:r>
          <w:r>
            <w:rPr>
              <w:sz w:val="24"/>
              <w:szCs w:val="24"/>
            </w:rPr>
            <w:fldChar w:fldCharType="separate"/>
          </w:r>
          <w:hyperlink w:tooltip="#_Toc201162115" w:anchor="_Toc201162115" w:history="1">
            <w:r>
              <w:rPr>
                <w:rStyle w:val="795"/>
                <w:b/>
                <w:sz w:val="24"/>
                <w:szCs w:val="24"/>
              </w:rPr>
              <w:t xml:space="preserve">ICE-CHP flows</w:t>
            </w:r>
            <w:r>
              <w:rPr>
                <w:sz w:val="24"/>
                <w:szCs w:val="24"/>
              </w:rPr>
              <w:tab/>
            </w:r>
            <w:r>
              <w:rPr>
                <w:sz w:val="24"/>
                <w:szCs w:val="24"/>
              </w:rPr>
              <w:fldChar w:fldCharType="begin"/>
            </w:r>
            <w:r>
              <w:rPr>
                <w:sz w:val="24"/>
                <w:szCs w:val="24"/>
              </w:rPr>
              <w:instrText xml:space="preserve"> PAGEREF _Toc201162115 \h </w:instrText>
            </w:r>
            <w:r>
              <w:rPr>
                <w:sz w:val="24"/>
                <w:szCs w:val="24"/>
              </w:rPr>
            </w:r>
            <w:r>
              <w:rPr>
                <w:sz w:val="24"/>
                <w:szCs w:val="24"/>
              </w:rPr>
              <w:fldChar w:fldCharType="separate"/>
            </w:r>
            <w:r>
              <w:rPr>
                <w:sz w:val="24"/>
                <w:szCs w:val="24"/>
              </w:rPr>
              <w:t xml:space="preserve">2</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16" w:anchor="_Toc201162116" w:history="1">
            <w:r>
              <w:rPr>
                <w:rStyle w:val="795"/>
                <w:b/>
                <w:bCs/>
                <w:sz w:val="24"/>
                <w:szCs w:val="24"/>
              </w:rPr>
              <w:t xml:space="preserve">PV flows</w:t>
            </w:r>
            <w:r>
              <w:rPr>
                <w:sz w:val="24"/>
                <w:szCs w:val="24"/>
              </w:rPr>
              <w:tab/>
            </w:r>
            <w:r>
              <w:rPr>
                <w:sz w:val="24"/>
                <w:szCs w:val="24"/>
              </w:rPr>
              <w:fldChar w:fldCharType="begin"/>
            </w:r>
            <w:r>
              <w:rPr>
                <w:sz w:val="24"/>
                <w:szCs w:val="24"/>
              </w:rPr>
              <w:instrText xml:space="preserve"> PAGEREF _Toc201162116 \h </w:instrText>
            </w:r>
            <w:r>
              <w:rPr>
                <w:sz w:val="24"/>
                <w:szCs w:val="24"/>
              </w:rPr>
            </w:r>
            <w:r>
              <w:rPr>
                <w:sz w:val="24"/>
                <w:szCs w:val="24"/>
              </w:rPr>
              <w:fldChar w:fldCharType="separate"/>
            </w:r>
            <w:r>
              <w:rPr>
                <w:sz w:val="24"/>
                <w:szCs w:val="24"/>
              </w:rPr>
              <w:t xml:space="preserve">6</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17" w:anchor="_Toc201162117" w:history="1">
            <w:r>
              <w:rPr>
                <w:rStyle w:val="795"/>
                <w:b/>
                <w:bCs/>
                <w:sz w:val="24"/>
                <w:szCs w:val="24"/>
              </w:rPr>
              <w:t xml:space="preserve">WT flows</w:t>
            </w:r>
            <w:r>
              <w:rPr>
                <w:sz w:val="24"/>
                <w:szCs w:val="24"/>
              </w:rPr>
              <w:tab/>
            </w:r>
            <w:r>
              <w:rPr>
                <w:sz w:val="24"/>
                <w:szCs w:val="24"/>
              </w:rPr>
              <w:fldChar w:fldCharType="begin"/>
            </w:r>
            <w:r>
              <w:rPr>
                <w:sz w:val="24"/>
                <w:szCs w:val="24"/>
              </w:rPr>
              <w:instrText xml:space="preserve"> PAGEREF _Toc201162117 \h </w:instrText>
            </w:r>
            <w:r>
              <w:rPr>
                <w:sz w:val="24"/>
                <w:szCs w:val="24"/>
              </w:rPr>
            </w:r>
            <w:r>
              <w:rPr>
                <w:sz w:val="24"/>
                <w:szCs w:val="24"/>
              </w:rPr>
              <w:fldChar w:fldCharType="separate"/>
            </w:r>
            <w:r>
              <w:rPr>
                <w:sz w:val="24"/>
                <w:szCs w:val="24"/>
              </w:rPr>
              <w:t xml:space="preserve">9</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18" w:anchor="_Toc201162118" w:history="1">
            <w:r>
              <w:rPr>
                <w:rStyle w:val="795"/>
                <w:b/>
                <w:bCs/>
                <w:sz w:val="24"/>
                <w:szCs w:val="24"/>
              </w:rPr>
              <w:t xml:space="preserve">BAT flows</w:t>
            </w:r>
            <w:r>
              <w:rPr>
                <w:sz w:val="24"/>
                <w:szCs w:val="24"/>
              </w:rPr>
              <w:tab/>
            </w:r>
            <w:r>
              <w:rPr>
                <w:sz w:val="24"/>
                <w:szCs w:val="24"/>
              </w:rPr>
              <w:fldChar w:fldCharType="begin"/>
            </w:r>
            <w:r>
              <w:rPr>
                <w:sz w:val="24"/>
                <w:szCs w:val="24"/>
              </w:rPr>
              <w:instrText xml:space="preserve"> PAGEREF _Toc201162118 \h </w:instrText>
            </w:r>
            <w:r>
              <w:rPr>
                <w:sz w:val="24"/>
                <w:szCs w:val="24"/>
              </w:rPr>
            </w:r>
            <w:r>
              <w:rPr>
                <w:sz w:val="24"/>
                <w:szCs w:val="24"/>
              </w:rPr>
              <w:fldChar w:fldCharType="separate"/>
            </w:r>
            <w:r>
              <w:rPr>
                <w:sz w:val="24"/>
                <w:szCs w:val="24"/>
              </w:rPr>
              <w:t xml:space="preserve">11</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19" w:anchor="_Toc201162119" w:history="1">
            <w:r>
              <w:rPr>
                <w:rStyle w:val="795"/>
                <w:b/>
                <w:bCs/>
                <w:sz w:val="24"/>
                <w:szCs w:val="24"/>
              </w:rPr>
              <w:t xml:space="preserve">GSHP flows</w:t>
            </w:r>
            <w:r>
              <w:rPr>
                <w:sz w:val="24"/>
                <w:szCs w:val="24"/>
              </w:rPr>
              <w:tab/>
            </w:r>
            <w:r>
              <w:rPr>
                <w:sz w:val="24"/>
                <w:szCs w:val="24"/>
              </w:rPr>
              <w:fldChar w:fldCharType="begin"/>
            </w:r>
            <w:r>
              <w:rPr>
                <w:sz w:val="24"/>
                <w:szCs w:val="24"/>
              </w:rPr>
              <w:instrText xml:space="preserve"> PAGEREF _Toc201162119 \h </w:instrText>
            </w:r>
            <w:r>
              <w:rPr>
                <w:sz w:val="24"/>
                <w:szCs w:val="24"/>
              </w:rPr>
            </w:r>
            <w:r>
              <w:rPr>
                <w:sz w:val="24"/>
                <w:szCs w:val="24"/>
              </w:rPr>
              <w:fldChar w:fldCharType="separate"/>
            </w:r>
            <w:r>
              <w:rPr>
                <w:sz w:val="24"/>
                <w:szCs w:val="24"/>
              </w:rPr>
              <w:t xml:space="preserve">12</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20" w:anchor="_Toc201162120" w:history="1">
            <w:r>
              <w:rPr>
                <w:rStyle w:val="795"/>
                <w:b/>
                <w:bCs/>
                <w:sz w:val="24"/>
                <w:szCs w:val="24"/>
              </w:rPr>
              <w:t xml:space="preserve">PEMEL flows</w:t>
            </w:r>
            <w:r>
              <w:rPr>
                <w:sz w:val="24"/>
                <w:szCs w:val="24"/>
              </w:rPr>
              <w:tab/>
            </w:r>
            <w:r>
              <w:rPr>
                <w:sz w:val="24"/>
                <w:szCs w:val="24"/>
              </w:rPr>
              <w:fldChar w:fldCharType="begin"/>
            </w:r>
            <w:r>
              <w:rPr>
                <w:sz w:val="24"/>
                <w:szCs w:val="24"/>
              </w:rPr>
              <w:instrText xml:space="preserve"> PAGEREF _Toc201162120 \h </w:instrText>
            </w:r>
            <w:r>
              <w:rPr>
                <w:sz w:val="24"/>
                <w:szCs w:val="24"/>
              </w:rPr>
            </w:r>
            <w:r>
              <w:rPr>
                <w:sz w:val="24"/>
                <w:szCs w:val="24"/>
              </w:rPr>
              <w:fldChar w:fldCharType="separate"/>
            </w:r>
            <w:r>
              <w:rPr>
                <w:sz w:val="24"/>
                <w:szCs w:val="24"/>
              </w:rPr>
              <w:t xml:space="preserve">14</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21" w:anchor="_Toc201162121" w:history="1">
            <w:r>
              <w:rPr>
                <w:rStyle w:val="795"/>
                <w:b/>
                <w:bCs/>
                <w:sz w:val="24"/>
                <w:szCs w:val="24"/>
              </w:rPr>
              <w:t xml:space="preserve">H2C flows</w:t>
            </w:r>
            <w:r>
              <w:rPr>
                <w:sz w:val="24"/>
                <w:szCs w:val="24"/>
              </w:rPr>
              <w:tab/>
            </w:r>
            <w:r>
              <w:rPr>
                <w:sz w:val="24"/>
                <w:szCs w:val="24"/>
              </w:rPr>
              <w:fldChar w:fldCharType="begin"/>
            </w:r>
            <w:r>
              <w:rPr>
                <w:sz w:val="24"/>
                <w:szCs w:val="24"/>
              </w:rPr>
              <w:instrText xml:space="preserve"> PAGEREF _Toc201162121 \h </w:instrText>
            </w:r>
            <w:r>
              <w:rPr>
                <w:sz w:val="24"/>
                <w:szCs w:val="24"/>
              </w:rPr>
            </w:r>
            <w:r>
              <w:rPr>
                <w:sz w:val="24"/>
                <w:szCs w:val="24"/>
              </w:rPr>
              <w:fldChar w:fldCharType="separate"/>
            </w:r>
            <w:r>
              <w:rPr>
                <w:sz w:val="24"/>
                <w:szCs w:val="24"/>
              </w:rPr>
              <w:t xml:space="preserve">16</w:t>
            </w:r>
            <w:r>
              <w:rPr>
                <w:sz w:val="24"/>
                <w:szCs w:val="24"/>
              </w:rPr>
              <w:fldChar w:fldCharType="end"/>
            </w:r>
          </w:hyperlink>
          <w:r/>
          <w:r>
            <w:rPr>
              <w:sz w:val="24"/>
              <w:szCs w:val="24"/>
              <w:lang w:val="fr-FR" w:eastAsia="fr-FR"/>
            </w:rPr>
          </w:r>
        </w:p>
        <w:p>
          <w:pPr>
            <w:pStyle w:val="810"/>
            <w:pBdr/>
            <w:tabs>
              <w:tab w:val="right" w:leader="dot" w:pos="9062"/>
            </w:tabs>
            <w:spacing/>
            <w:ind/>
            <w:rPr>
              <w:sz w:val="24"/>
              <w:szCs w:val="24"/>
              <w:lang w:val="fr-FR" w:eastAsia="fr-FR"/>
            </w:rPr>
          </w:pPr>
          <w:r/>
          <w:hyperlink w:tooltip="#_Toc201162122" w:anchor="_Toc201162122" w:history="1">
            <w:r>
              <w:rPr>
                <w:rStyle w:val="795"/>
                <w:b/>
                <w:bCs/>
                <w:sz w:val="24"/>
                <w:szCs w:val="24"/>
              </w:rPr>
              <w:t xml:space="preserve">H2S flows</w:t>
            </w:r>
            <w:r>
              <w:rPr>
                <w:sz w:val="24"/>
                <w:szCs w:val="24"/>
              </w:rPr>
              <w:tab/>
            </w:r>
            <w:r>
              <w:rPr>
                <w:sz w:val="24"/>
                <w:szCs w:val="24"/>
              </w:rPr>
              <w:fldChar w:fldCharType="begin"/>
            </w:r>
            <w:r>
              <w:rPr>
                <w:sz w:val="24"/>
                <w:szCs w:val="24"/>
              </w:rPr>
              <w:instrText xml:space="preserve"> PAGEREF _Toc201162122 \h </w:instrText>
            </w:r>
            <w:r>
              <w:rPr>
                <w:sz w:val="24"/>
                <w:szCs w:val="24"/>
              </w:rPr>
            </w:r>
            <w:r>
              <w:rPr>
                <w:sz w:val="24"/>
                <w:szCs w:val="24"/>
              </w:rPr>
              <w:fldChar w:fldCharType="separate"/>
            </w:r>
            <w:r>
              <w:rPr>
                <w:sz w:val="24"/>
                <w:szCs w:val="24"/>
              </w:rPr>
              <w:t xml:space="preserve">17</w:t>
            </w:r>
            <w:r>
              <w:rPr>
                <w:sz w:val="24"/>
                <w:szCs w:val="24"/>
              </w:rPr>
              <w:fldChar w:fldCharType="end"/>
            </w:r>
          </w:hyperlink>
          <w:r/>
          <w:r>
            <w:rPr>
              <w:sz w:val="24"/>
              <w:szCs w:val="24"/>
              <w:lang w:val="fr-FR" w:eastAsia="fr-FR"/>
            </w:rPr>
          </w:r>
        </w:p>
        <w:p>
          <w:pPr>
            <w:pBdr/>
            <w:spacing/>
            <w:ind/>
            <w:rPr>
              <w:lang w:val="fr-FR"/>
            </w:rPr>
          </w:pPr>
          <w:r>
            <w:rPr>
              <w:b/>
              <w:bCs/>
              <w:sz w:val="24"/>
              <w:szCs w:val="24"/>
            </w:rPr>
            <w:fldChar w:fldCharType="end"/>
          </w:r>
          <w:r>
            <w:rPr>
              <w:lang w:val="fr-FR"/>
            </w:rPr>
          </w:r>
        </w:p>
      </w:sdtContent>
    </w:sdt>
    <w:p>
      <w:pPr>
        <w:pBdr/>
        <w:spacing w:after="160" w:line="259" w:lineRule="auto"/>
        <w:ind/>
        <w:jc w:val="left"/>
        <w:rPr>
          <w:rStyle w:val="800"/>
          <w:lang w:val="fr-FR"/>
        </w:rPr>
      </w:pPr>
      <w:r>
        <w:rPr>
          <w:lang w:val="fr-FR"/>
        </w:rPr>
      </w:r>
      <w:r>
        <w:rPr>
          <w:rStyle w:val="800"/>
          <w:lang w:val="fr-FR"/>
        </w:rPr>
      </w:r>
    </w:p>
    <w:p>
      <w:pPr>
        <w:pBdr/>
        <w:spacing w:after="160" w:line="259" w:lineRule="auto"/>
        <w:ind/>
        <w:jc w:val="left"/>
        <w:rPr>
          <w:rStyle w:val="800"/>
          <w:rFonts w:asciiTheme="majorHAnsi" w:hAnsiTheme="majorHAnsi" w:eastAsiaTheme="majorEastAsia" w:cstheme="majorBidi"/>
          <w:bCs w:val="0"/>
          <w:sz w:val="36"/>
          <w:szCs w:val="36"/>
        </w:rPr>
      </w:pPr>
      <w:r/>
      <w:bookmarkStart w:id="1" w:name="_Toc201162115"/>
      <w:r>
        <w:rPr>
          <w:rStyle w:val="800"/>
          <w:bCs w:val="0"/>
        </w:rPr>
        <w:br w:type="page" w:clear="all"/>
      </w:r>
      <w:r>
        <w:rPr>
          <w:rStyle w:val="800"/>
          <w:rFonts w:asciiTheme="majorHAnsi" w:hAnsiTheme="majorHAnsi" w:eastAsiaTheme="majorEastAsia" w:cstheme="majorBidi"/>
          <w:bCs w:val="0"/>
          <w:sz w:val="36"/>
          <w:szCs w:val="36"/>
        </w:rPr>
      </w:r>
    </w:p>
    <w:p>
      <w:pPr>
        <w:pStyle w:val="791"/>
        <w:pBdr/>
        <w:spacing/>
        <w:ind/>
        <w:rPr>
          <w:rStyle w:val="800"/>
          <w:bCs w:val="0"/>
        </w:rPr>
      </w:pPr>
      <w:r>
        <w:rPr>
          <w:rStyle w:val="800"/>
          <w:bCs w:val="0"/>
        </w:rPr>
        <w:t xml:space="preserve">ICE-CHP flows</w:t>
      </w:r>
      <w:bookmarkEnd w:id="1"/>
      <w:r/>
      <w:r>
        <w:rPr>
          <w:rStyle w:val="800"/>
          <w:bCs w:val="0"/>
        </w:rPr>
      </w:r>
    </w:p>
    <w:p>
      <w:pPr>
        <w:pBdr/>
        <w:spacing/>
        <w:ind/>
        <w:jc w:val="left"/>
        <w:rPr>
          <w:rStyle w:val="800"/>
          <w:rFonts w:cstheme="minorHAnsi"/>
          <w:sz w:val="24"/>
          <w:szCs w:val="24"/>
        </w:rPr>
      </w:pPr>
      <w:r>
        <w:rPr>
          <w:rStyle w:val="800"/>
          <w:rFonts w:cstheme="minorHAnsi"/>
          <w:sz w:val="24"/>
          <w:szCs w:val="24"/>
        </w:rPr>
        <w:t xml:space="preserve">ICE-CHP unit</w:t>
      </w:r>
      <w:r>
        <w:rPr>
          <w:rStyle w:val="800"/>
          <w:rFonts w:cstheme="minorHAnsi"/>
          <w:sz w:val="24"/>
          <w:szCs w:val="24"/>
        </w:rPr>
        <w:t xml:space="preserve"> construction, 38kWel+53.7kWth</w:t>
      </w:r>
      <w:r>
        <w:rPr>
          <w:rStyle w:val="800"/>
          <w:rFonts w:cstheme="minorHAnsi"/>
          <w:sz w:val="24"/>
          <w:szCs w:val="24"/>
        </w:rPr>
        <w:br/>
      </w:r>
      <w:r>
        <w:rPr>
          <w:rStyle w:val="800"/>
          <w:rFonts w:cstheme="minorHAnsi"/>
          <w:sz w:val="24"/>
          <w:szCs w:val="24"/>
        </w:rPr>
        <w:t xml:space="preserve">common components, electricity components, heat components</w:t>
      </w:r>
      <w:r>
        <w:rPr>
          <w:rStyle w:val="800"/>
          <w:rFonts w:cstheme="minorHAnsi"/>
          <w:sz w:val="24"/>
          <w:szCs w:val="24"/>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is based on comparison of the ecoinvent 3.10 activities for</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50 kWel, 160 kWel, 200 kWel, 500 kWel, 1 MWel.</w:t>
      </w:r>
      <w:r>
        <w:rPr>
          <w:rFonts w:ascii="Times New Roman" w:hAnsi="Times New Roman" w:eastAsia="Times New Roman" w:cs="Times New Roman"/>
          <w:lang w:eastAsia="fr-FR"/>
        </w:rPr>
      </w:r>
    </w:p>
    <w:p>
      <w:pPr>
        <w:pStyle w:val="801"/>
        <w:numPr>
          <w:ilvl w:val="0"/>
          <w:numId w:val="6"/>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 and power co-generation unit construction, X kW electrical, common components for heat+electricity (RER)"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 modification of the lifetime considered.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160kW is the base dataset, and others were extrapolated from 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selected the RER equivalent activities instead of the markets.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all exchanges, we use a power progression following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Based on the 4 previously mentioned extrapolated activities, we can do a fit to determine the extrapolation: </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C(X) = a * X</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Where: </w:t>
      </w:r>
      <w:r>
        <w:rPr>
          <w:rFonts w:ascii="Times New Roman" w:hAnsi="Times New Roman" w:eastAsia="Times New Roman" w:cs="Times New Roman"/>
          <w:lang w:eastAsia="fr-FR"/>
        </w:rPr>
      </w:r>
    </w:p>
    <w:p>
      <w:pPr>
        <w:pStyle w:val="801"/>
        <w:numPr>
          <w:ilvl w:val="0"/>
          <w:numId w:val="3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 flow value</w:t>
      </w:r>
      <w:r>
        <w:rPr>
          <w:rFonts w:ascii="Times New Roman" w:hAnsi="Times New Roman" w:eastAsia="Times New Roman" w:cs="Times New Roman"/>
          <w:lang w:eastAsia="fr-FR"/>
        </w:rPr>
      </w:r>
    </w:p>
    <w:p>
      <w:pPr>
        <w:pStyle w:val="801"/>
        <w:numPr>
          <w:ilvl w:val="0"/>
          <w:numId w:val="3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 regression coefficient across the datasets (not just the ratio of 2 X values)</w:t>
      </w:r>
      <w:r>
        <w:rPr>
          <w:rFonts w:ascii="Times New Roman" w:hAnsi="Times New Roman" w:eastAsia="Times New Roman" w:cs="Times New Roman"/>
          <w:lang w:eastAsia="fr-FR"/>
        </w:rPr>
      </w:r>
    </w:p>
    <w:p>
      <w:pPr>
        <w:pStyle w:val="801"/>
        <w:numPr>
          <w:ilvl w:val="0"/>
          <w:numId w:val="3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 capacity (here, kW)</w:t>
      </w:r>
      <w:r>
        <w:rPr>
          <w:rFonts w:ascii="Times New Roman" w:hAnsi="Times New Roman" w:eastAsia="Times New Roman" w:cs="Times New Roman"/>
          <w:lang w:eastAsia="fr-FR"/>
        </w:rPr>
      </w:r>
    </w:p>
    <w:p>
      <w:pPr>
        <w:pStyle w:val="801"/>
        <w:numPr>
          <w:ilvl w:val="0"/>
          <w:numId w:val="3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w:t>
      </w:r>
      <w:r>
        <w:rPr>
          <w:rFonts w:ascii="Times New Roman" w:hAnsi="Times New Roman" w:eastAsia="Times New Roman" w:cs="Times New Roman"/>
          <w:lang w:eastAsia="fr-FR"/>
        </w:rPr>
        <w:t xml:space="preserve">: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w:t>
      </w:r>
      <w:r>
        <w:rPr>
          <w:rFonts w:ascii="Times New Roman" w:hAnsi="Times New Roman" w:eastAsia="Times New Roman" w:cs="Times New Roman"/>
          <w:lang w:eastAsia="fr-FR"/>
        </w:rPr>
        <w:t xml:space="preserve">ll R</w:t>
      </w:r>
      <w:r>
        <w:rPr>
          <w:rFonts w:ascii="Times New Roman" w:hAnsi="Times New Roman" w:eastAsia="Times New Roman" w:cs="Times New Roman"/>
          <w:vertAlign w:val="superscript"/>
          <w:lang w:eastAsia="fr-FR"/>
        </w:rPr>
        <w:t xml:space="preserve">2</w:t>
      </w:r>
      <w:r>
        <w:rPr>
          <w:rFonts w:ascii="Times New Roman" w:hAnsi="Times New Roman" w:eastAsia="Times New Roman" w:cs="Times New Roman"/>
          <w:lang w:eastAsia="fr-FR"/>
        </w:rPr>
        <w:t xml:space="preserve"> values were above 0.999.</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Thus:</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0.0093 &amp;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0.9187 for "market for gas motor, 206kW"</w:t>
      </w:r>
      <w:r>
        <w:rPr>
          <w:rFonts w:ascii="Times New Roman" w:hAnsi="Times New Roman" w:eastAsia="Times New Roman" w:cs="Times New Roman"/>
          <w:lang w:eastAsia="fr-FR"/>
        </w:rPr>
      </w:r>
    </w:p>
    <w:p>
      <w:pPr>
        <w:pStyle w:val="801"/>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0.0093 * (38)</w:t>
      </w:r>
      <w:r>
        <w:rPr>
          <w:rFonts w:ascii="Times New Roman" w:hAnsi="Times New Roman" w:eastAsia="Times New Roman" w:cs="Times New Roman"/>
          <w:vertAlign w:val="superscript"/>
          <w:lang w:eastAsia="fr-FR"/>
        </w:rPr>
        <w:t xml:space="preserve">0.9187 </w:t>
      </w:r>
      <w:r>
        <w:rPr>
          <w:rFonts w:ascii="Times New Roman" w:hAnsi="Times New Roman" w:eastAsia="Times New Roman" w:cs="Times New Roman"/>
          <w:lang w:eastAsia="fr-FR"/>
        </w:rPr>
        <w:t xml:space="preserve">= 0.263</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0.0269 &amp;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0.6777 for "maintenance, heat and power co-generation unit, 160kW electrical"</w:t>
      </w:r>
      <w:r>
        <w:rPr>
          <w:rFonts w:ascii="Times New Roman" w:hAnsi="Times New Roman" w:eastAsia="Times New Roman" w:cs="Times New Roman"/>
          <w:lang w:eastAsia="fr-FR"/>
        </w:rPr>
      </w:r>
    </w:p>
    <w:p>
      <w:pPr>
        <w:pStyle w:val="801"/>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=0.0269</w:t>
      </w:r>
      <w:r>
        <w:rPr>
          <w:rFonts w:ascii="Times New Roman" w:hAnsi="Times New Roman" w:eastAsia="Times New Roman" w:cs="Times New Roman"/>
          <w:lang w:eastAsia="fr-FR"/>
        </w:rPr>
        <w:t xml:space="preserve"> * (38)</w:t>
      </w:r>
      <w:r>
        <w:rPr>
          <w:rFonts w:ascii="Times New Roman" w:hAnsi="Times New Roman" w:eastAsia="Times New Roman" w:cs="Times New Roman"/>
          <w:vertAlign w:val="superscript"/>
          <w:lang w:eastAsia="fr-FR"/>
        </w:rPr>
        <w:t xml:space="preserve">0.6777</w:t>
      </w:r>
      <w:r>
        <w:rPr>
          <w:rFonts w:ascii="Times New Roman" w:hAnsi="Times New Roman" w:eastAsia="Times New Roman" w:cs="Times New Roman"/>
          <w:lang w:eastAsia="fr-FR"/>
        </w:rPr>
        <w:t xml:space="preserve"> = 0.316</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0.0381 &amp;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0.6126 for the other flows</w:t>
      </w:r>
      <w:r>
        <w:rPr>
          <w:rFonts w:ascii="Times New Roman" w:hAnsi="Times New Roman" w:eastAsia="Times New Roman" w:cs="Times New Roman"/>
          <w:lang w:eastAsia="fr-FR"/>
        </w:rPr>
      </w:r>
    </w:p>
    <w:p>
      <w:pPr>
        <w:pStyle w:val="801"/>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0.0381 * (38)</w:t>
      </w:r>
      <w:r>
        <w:rPr>
          <w:rFonts w:ascii="Times New Roman" w:hAnsi="Times New Roman" w:eastAsia="Times New Roman" w:cs="Times New Roman"/>
          <w:vertAlign w:val="superscript"/>
          <w:lang w:eastAsia="fr-FR"/>
        </w:rPr>
        <w:t xml:space="preserve">0.6126</w:t>
      </w:r>
      <w:r>
        <w:rPr>
          <w:rFonts w:ascii="Times New Roman" w:hAnsi="Times New Roman" w:eastAsia="Times New Roman" w:cs="Times New Roman"/>
          <w:lang w:eastAsia="fr-FR"/>
        </w:rPr>
        <w:t xml:space="preserve"> = 0.354</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Based on the operation parameters for our </w:t>
      </w:r>
      <w:r>
        <w:rPr>
          <w:rFonts w:ascii="Times New Roman" w:hAnsi="Times New Roman" w:eastAsia="Times New Roman" w:cs="Times New Roman"/>
          <w:lang w:eastAsia="fr-FR"/>
        </w:rPr>
        <w:t xml:space="preserve">ICE-</w:t>
      </w:r>
      <w:r>
        <w:rPr>
          <w:rFonts w:ascii="Times New Roman" w:hAnsi="Times New Roman" w:eastAsia="Times New Roman" w:cs="Times New Roman"/>
          <w:lang w:eastAsia="fr-FR"/>
        </w:rPr>
        <w:t xml:space="preserve">CHP: </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1500 rpm, </w:t>
      </w:r>
      <w:r>
        <w:rPr>
          <w:rFonts w:ascii="Times New Roman" w:hAnsi="Times New Roman" w:eastAsia="Times New Roman" w:cs="Times New Roman"/>
          <w:lang w:eastAsia="fr-FR"/>
        </w:rPr>
        <w:t xml:space="preserve">λ = </w:t>
      </w:r>
      <w:r>
        <w:rPr>
          <w:rFonts w:ascii="Times New Roman" w:hAnsi="Times New Roman" w:eastAsia="Times New Roman" w:cs="Times New Roman"/>
          <w:lang w:eastAsia="fr-FR"/>
        </w:rPr>
        <w:t xml:space="preserve">2.6 (ultra lean burn),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fuel</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can consider to be in the situation where no catalytic converter is needed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Indeed: </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catalytic converter is present in the 160kWel ecoinvent dataset </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But absent from the extrapolated ones which are based on typical lean operation on natural gas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w:t>
      </w:r>
      <w:r>
        <w:rPr>
          <w:rFonts w:ascii="Times New Roman" w:hAnsi="Times New Roman" w:eastAsia="Times New Roman" w:cs="Times New Roman"/>
          <w:lang w:eastAsia="fr-FR"/>
        </w:rPr>
        <w:t xml:space="preserve">ltra lean operation on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is comparable </w:t>
      </w:r>
      <w:r>
        <w:rPr>
          <w:rFonts w:ascii="Times New Roman" w:hAnsi="Times New Roman" w:eastAsia="Times New Roman" w:cs="Times New Roman"/>
          <w:lang w:eastAsia="fr-FR"/>
        </w:rPr>
        <w:t xml:space="preserve">to the latter datasets </w:t>
      </w:r>
      <w:r>
        <w:rPr>
          <w:rFonts w:ascii="Times New Roman" w:hAnsi="Times New Roman" w:eastAsia="Times New Roman" w:cs="Times New Roman"/>
          <w:lang w:eastAsia="fr-FR"/>
        </w:rPr>
        <w:t xml:space="preserve">and thus don't require the catalytic converter.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select the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0.6121 case and apply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5 * (38/160)</w:t>
      </w:r>
      <w:r>
        <w:rPr>
          <w:rFonts w:ascii="Times New Roman" w:hAnsi="Times New Roman" w:eastAsia="Times New Roman" w:cs="Times New Roman"/>
          <w:vertAlign w:val="superscript"/>
          <w:lang w:eastAsia="fr-FR"/>
        </w:rPr>
        <w:t xml:space="preserve">0.6121</w:t>
      </w:r>
      <w:r>
        <w:rPr>
          <w:rFonts w:ascii="Times New Roman" w:hAnsi="Times New Roman" w:eastAsia="Times New Roman" w:cs="Times New Roman"/>
          <w:lang w:eastAsia="fr-FR"/>
        </w:rPr>
        <w:t xml:space="preserve"> = 2.074</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keep the original ecoinvent uncertainties.</w:t>
      </w:r>
      <w:r>
        <w:rPr>
          <w:rFonts w:ascii="Times New Roman" w:hAnsi="Times New Roman" w:eastAsia="Times New Roman" w:cs="Times New Roman"/>
          <w:lang w:eastAsia="fr-FR"/>
        </w:rPr>
      </w:r>
    </w:p>
    <w:p>
      <w:pPr>
        <w:pBdr/>
        <w:spacing w:after="160" w:line="259" w:lineRule="auto"/>
        <w:ind/>
        <w:jc w:val="left"/>
        <w:rPr>
          <w:rFonts w:eastAsia="Times New Roman" w:cstheme="minorHAnsi"/>
          <w:b/>
          <w:sz w:val="24"/>
          <w:szCs w:val="24"/>
          <w:lang w:eastAsia="fr-FR"/>
        </w:rPr>
      </w:pPr>
      <w:r>
        <w:rPr>
          <w:rFonts w:eastAsia="Times New Roman" w:cstheme="minorHAnsi"/>
          <w:b/>
          <w:sz w:val="24"/>
          <w:szCs w:val="24"/>
          <w:lang w:eastAsia="fr-FR"/>
        </w:rPr>
        <w:br w:type="page" w:clear="all"/>
      </w:r>
      <w:r>
        <w:rPr>
          <w:rFonts w:eastAsia="Times New Roman" w:cstheme="minorHAnsi"/>
          <w:b/>
          <w:sz w:val="24"/>
          <w:szCs w:val="24"/>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w:t>
      </w:r>
      <w:r>
        <w:rPr>
          <w:rFonts w:eastAsia="Times New Roman" w:cstheme="minorHAnsi"/>
          <w:b/>
          <w:sz w:val="24"/>
          <w:szCs w:val="24"/>
          <w:lang w:eastAsia="fr-FR"/>
        </w:rPr>
        <w:t xml:space="preserve">/Heat</w:t>
      </w:r>
      <w:r>
        <w:rPr>
          <w:rFonts w:eastAsia="Times New Roman" w:cstheme="minorHAnsi"/>
          <w:b/>
          <w:sz w:val="24"/>
          <w:szCs w:val="24"/>
          <w:lang w:eastAsia="fr-FR"/>
        </w:rPr>
        <w:t xml:space="preserve">, from 38kWel+53.7kWth ICE-CHP</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Based on the ecoinvent 3.10 activities:</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 central or small-scale, natural gas | heat and power co-generation, natural gas, X kW electrical, lean burn (CH)"</w:t>
      </w:r>
      <w:r>
        <w:rPr>
          <w:rFonts w:ascii="Times New Roman" w:hAnsi="Times New Roman" w:eastAsia="Times New Roman" w:cs="Times New Roman"/>
          <w:lang w:eastAsia="fr-FR"/>
        </w:rPr>
      </w:r>
    </w:p>
    <w:p>
      <w:pPr>
        <w:pStyle w:val="801"/>
        <w:numPr>
          <w:ilvl w:val="0"/>
          <w:numId w:val="3"/>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low voltage | heat and power co-generation, natural gas, X kW electrical, lean burn (CH)"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flow repartition in the dedicated ecoinvent report states that system expansion is avoided to allow comparison per output with other activities.</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Thus, several allocation alternatives are explored.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allocation choice available in the database is based on exergy.</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Our system is heat led, so allocation by exergy </w:t>
      </w:r>
      <w:r>
        <w:rPr>
          <w:rFonts w:ascii="Times New Roman" w:hAnsi="Times New Roman" w:eastAsia="Times New Roman" w:cs="Times New Roman"/>
          <w:lang w:eastAsia="fr-FR"/>
        </w:rPr>
        <w:t xml:space="preserve">is not appropriate and should be</w:t>
      </w:r>
      <w:r>
        <w:rPr>
          <w:rFonts w:ascii="Times New Roman" w:hAnsi="Times New Roman" w:eastAsia="Times New Roman" w:cs="Times New Roman"/>
          <w:lang w:eastAsia="fr-FR"/>
        </w:rPr>
        <w:t xml:space="preserve"> replaced by allocation based on energy.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ecoinvent computation for unit use:</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 </w:t>
      </w:r>
      <w:r>
        <w:rPr>
          <w:rFonts w:ascii="Times New Roman" w:hAnsi="Times New Roman" w:eastAsia="Times New Roman" w:cs="Times New Roman"/>
          <w:lang w:eastAsia="fr-FR"/>
        </w:rPr>
        <w:t xml:space="preserve">y * kWp/unit * kWh/(kWp*1y)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 Electricity </w:t>
      </w:r>
      <w:r>
        <w:rPr>
          <w:rFonts w:ascii="Times New Roman" w:hAnsi="Times New Roman" w:eastAsia="Times New Roman" w:cs="Times New Roman"/>
          <w:lang w:eastAsia="fr-FR"/>
        </w:rPr>
        <w:t xml:space="preserve">&amp; Heat </w:t>
      </w:r>
      <w:r>
        <w:rPr>
          <w:rFonts w:ascii="Times New Roman" w:hAnsi="Times New Roman" w:eastAsia="Times New Roman" w:cs="Times New Roman"/>
          <w:lang w:eastAsia="fr-FR"/>
        </w:rPr>
        <w:t xml:space="preserve">annual yield</w:t>
      </w:r>
      <w:r>
        <w:rPr>
          <w:rFonts w:ascii="Times New Roman" w:hAnsi="Times New Roman" w:eastAsia="Times New Roman" w:cs="Times New Roman"/>
          <w:lang w:eastAsia="fr-FR"/>
        </w:rPr>
        <w:t xml:space="preserve">s</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b</w:t>
      </w:r>
      <w:r>
        <w:rPr>
          <w:rFonts w:ascii="Times New Roman" w:hAnsi="Times New Roman" w:eastAsia="Times New Roman" w:cs="Times New Roman"/>
          <w:lang w:eastAsia="fr-FR"/>
        </w:rPr>
        <w:t xml:space="preserve">ased on </w:t>
      </w:r>
      <w:r>
        <w:rPr>
          <w:rFonts w:ascii="Times New Roman" w:hAnsi="Times New Roman" w:eastAsia="Times New Roman" w:cs="Times New Roman"/>
          <w:lang w:eastAsia="fr-FR"/>
        </w:rPr>
        <w:t xml:space="preserve">the </w:t>
      </w:r>
      <w:r>
        <w:rPr>
          <w:rFonts w:ascii="Times New Roman" w:hAnsi="Times New Roman" w:eastAsia="Times New Roman" w:cs="Times New Roman"/>
          <w:lang w:eastAsia="fr-FR"/>
        </w:rPr>
        <w:t xml:space="preserve">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https://github.com/IKKUeng</w:t>
      </w:r>
      <w:r>
        <w:rPr>
          <w:rFonts w:ascii="Times New Roman" w:hAnsi="Times New Roman" w:eastAsia="Times New Roman" w:cs="Times New Roman"/>
          <w:lang w:eastAsia="fr-FR"/>
        </w:rPr>
        <w:t xml:space="preserve">ine/CO2InnO-H2-CHP-Demonstrator</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y * kWp/unit * kWh/(kWp*1y)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38 * </w:t>
      </w: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annual yield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38 * </w:t>
      </w: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annual prod / 38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w:t>
      </w: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annual prod</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Electricity prod during lifetime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kWh/unit</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gives:</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 consumption per produced Electricity (</w:t>
      </w:r>
      <w:r>
        <w:rPr>
          <w:rFonts w:ascii="Times New Roman" w:hAnsi="Times New Roman" w:eastAsia="Times New Roman" w:cs="Times New Roman"/>
          <w:lang w:eastAsia="fr-FR"/>
        </w:rPr>
        <w:t xml:space="preserve">unit/kWh</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y * kWp/unit * kWh/(kWp*1y)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53.7 * Heat annual yield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53.7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Heat annual prod / 53.7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 * Heat annual prod</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Heat prod during lifetime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kWh/unit</w:t>
      </w:r>
      <w:r>
        <w:rPr>
          <w:rFonts w:ascii="Times New Roman" w:hAnsi="Times New Roman" w:eastAsia="Times New Roman" w:cs="Times New Roman"/>
          <w:lang w:eastAsia="fr-FR"/>
        </w:rPr>
        <w:t xml:space="preserve"> or MJ/unit</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gives:</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 consumption per produced Heat</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unit/kWh</w:t>
      </w:r>
      <w:r>
        <w:rPr>
          <w:rFonts w:ascii="Times New Roman" w:hAnsi="Times New Roman" w:eastAsia="Times New Roman" w:cs="Times New Roman"/>
          <w:lang w:eastAsia="fr-FR"/>
        </w:rPr>
        <w:t xml:space="preserve"> or unit/MJ</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Due to the modulation mode of the CHP in the Beerlage et al. (2024) OpenModelica simulation, this value changes for each scenario:</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jc w:val="center"/>
        <w:tblW w:w="0" w:type="auto"/>
        <w:tblBorders/>
        <w:tblLook w:val="04A0" w:firstRow="1" w:lastRow="0" w:firstColumn="1" w:lastColumn="0" w:noHBand="0" w:noVBand="1"/>
      </w:tblPr>
      <w:tblGrid>
        <w:gridCol w:w="1110"/>
        <w:gridCol w:w="2354"/>
        <w:gridCol w:w="2424"/>
      </w:tblGrid>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Scenario</w:t>
            </w:r>
            <w:r>
              <w:rPr>
                <w:rFonts w:ascii="Times New Roman" w:hAnsi="Times New Roman" w:eastAsia="Times New Roman" w:cs="Times New Roman"/>
                <w:lang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unit consumption</w:t>
            </w:r>
            <w:r>
              <w:rPr>
                <w:rFonts w:ascii="Times New Roman" w:hAnsi="Times New Roman" w:eastAsia="Times New Roman" w:cs="Times New Roman"/>
                <w:lang w:eastAsia="fr-FR"/>
              </w:rPr>
              <w:t xml:space="preserve"> / kWh</w:t>
            </w:r>
            <w:r>
              <w:rPr>
                <w:rFonts w:ascii="Times New Roman" w:hAnsi="Times New Roman" w:eastAsia="Times New Roman" w:cs="Times New Roman"/>
                <w:lang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 unit consumption</w:t>
            </w:r>
            <w:r>
              <w:rPr>
                <w:rFonts w:ascii="Times New Roman" w:hAnsi="Times New Roman" w:eastAsia="Times New Roman" w:cs="Times New Roman"/>
                <w:lang w:eastAsia="fr-FR"/>
              </w:rPr>
              <w:t xml:space="preserve"> / MJ</w:t>
            </w:r>
            <w:r>
              <w:rPr>
                <w:rFonts w:ascii="Times New Roman" w:hAnsi="Times New Roman" w:eastAsia="Times New Roman" w:cs="Times New Roman"/>
                <w:lang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2.86e-07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2.77e-07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1.92e-07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3</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2.74e-07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1.90e-07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4</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2.80e-07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1.93e-07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5</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2.83e-07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1.96e-07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6</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2.87e-07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1.98e-07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7</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4.55e-07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3.14e-07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8</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1.15e-06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7.87e-07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9</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1.02e-06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6.99e-07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10</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9.83e-07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6.72e-07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11</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1.02e-06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6.97e-07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12</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1.09e-06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7.46e-07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13</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1.21e-06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8.25e-07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14</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1.67e-06</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1.15e-06</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15</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2.87e-07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1.98e-07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16</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2.85e-07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17</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2.88e-07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1.99e-07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18</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2.94e-07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2.03e-07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3.00e-07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2.07e-07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20</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2.99e-07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2.06e-07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21</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5.25e-07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3.61e-07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22</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2.87e-07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1.98e-07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23</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2.86e-07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1.97e-07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24</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2.88e-07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1.99e-07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25</w:t>
            </w:r>
            <w:r>
              <w:rPr>
                <w:rFonts w:ascii="Times New Roman" w:hAnsi="Times New Roman" w:eastAsia="Times New Roman" w:cs="Times New Roman"/>
                <w:lang w:val="fr-FR"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2.94e-07</w:t>
            </w:r>
            <w:r>
              <w:rPr>
                <w:rFonts w:ascii="Times New Roman" w:hAnsi="Times New Roman" w:eastAsia="Times New Roman" w:cs="Times New Roman"/>
                <w:lang w:val="fr-FR"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2.03e-07</w:t>
            </w:r>
            <w:r>
              <w:rPr>
                <w:rFonts w:ascii="Times New Roman" w:hAnsi="Times New Roman" w:eastAsia="Times New Roman" w:cs="Times New Roman"/>
                <w:lang w:val="fr-FR"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26</w:t>
            </w:r>
            <w:r>
              <w:rPr>
                <w:rFonts w:ascii="Times New Roman" w:hAnsi="Times New Roman" w:eastAsia="Times New Roman" w:cs="Times New Roman"/>
                <w:lang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3.00e-07</w:t>
            </w:r>
            <w:r>
              <w:rPr>
                <w:rFonts w:ascii="Times New Roman" w:hAnsi="Times New Roman" w:eastAsia="Times New Roman" w:cs="Times New Roman"/>
                <w:lang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2.07e-07</w:t>
            </w:r>
            <w:r>
              <w:rPr>
                <w:rFonts w:ascii="Times New Roman" w:hAnsi="Times New Roman" w:eastAsia="Times New Roman" w:cs="Times New Roman"/>
                <w:lang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w:t>
            </w:r>
            <w:r>
              <w:rPr>
                <w:rFonts w:ascii="Times New Roman" w:hAnsi="Times New Roman" w:eastAsia="Times New Roman" w:cs="Times New Roman"/>
                <w:lang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2.99e-07</w:t>
            </w:r>
            <w:r>
              <w:rPr>
                <w:rFonts w:ascii="Times New Roman" w:hAnsi="Times New Roman" w:eastAsia="Times New Roman" w:cs="Times New Roman"/>
                <w:lang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2.06e-07</w:t>
            </w:r>
            <w:r>
              <w:rPr>
                <w:rFonts w:ascii="Times New Roman" w:hAnsi="Times New Roman" w:eastAsia="Times New Roman" w:cs="Times New Roman"/>
                <w:lang w:eastAsia="fr-FR"/>
              </w:rPr>
            </w:r>
          </w:p>
        </w:tc>
      </w:tr>
      <w:tr>
        <w:trPr>
          <w:jc w:val="center"/>
        </w:trPr>
        <w:tc>
          <w:tcPr>
            <w:tcBorders/>
            <w:tcW w:w="111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w:t>
            </w:r>
            <w:r>
              <w:rPr>
                <w:rFonts w:ascii="Times New Roman" w:hAnsi="Times New Roman" w:eastAsia="Times New Roman" w:cs="Times New Roman"/>
                <w:lang w:eastAsia="fr-FR"/>
              </w:rPr>
            </w:r>
          </w:p>
        </w:tc>
        <w:tc>
          <w:tcPr>
            <w:tcBorders/>
            <w:tcW w:w="235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5.37e-07</w:t>
            </w:r>
            <w:r>
              <w:rPr>
                <w:rFonts w:ascii="Times New Roman" w:hAnsi="Times New Roman" w:eastAsia="Times New Roman" w:cs="Times New Roman"/>
                <w:lang w:eastAsia="fr-FR"/>
              </w:rPr>
            </w:r>
          </w:p>
        </w:tc>
        <w:tc>
          <w:tcPr>
            <w:tcBorders/>
            <w:tcW w:w="242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3.70e-07</w:t>
            </w:r>
            <w:r>
              <w:rPr>
                <w:rFonts w:ascii="Times New Roman" w:hAnsi="Times New Roman" w:eastAsia="Times New Roman" w:cs="Times New Roman"/>
                <w:lang w:eastAsia="fr-FR"/>
              </w:rPr>
            </w:r>
          </w:p>
        </w:tc>
      </w:tr>
    </w:tbl>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Natural gas consumption is suppressed as our ICE-CHP is fueled by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Values for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consumption and E</w:t>
      </w:r>
      <w:r>
        <w:rPr>
          <w:rFonts w:ascii="Times New Roman" w:hAnsi="Times New Roman" w:eastAsia="Times New Roman" w:cs="Times New Roman"/>
          <w:lang w:eastAsia="fr-FR"/>
        </w:rPr>
        <w:t xml:space="preserve">lec</w:t>
      </w:r>
      <w:r>
        <w:rPr>
          <w:rFonts w:ascii="Times New Roman" w:hAnsi="Times New Roman" w:eastAsia="Times New Roman" w:cs="Times New Roman"/>
          <w:lang w:eastAsia="fr-FR"/>
        </w:rPr>
        <w:t xml:space="preserve">tricity/H</w:t>
      </w:r>
      <w:r>
        <w:rPr>
          <w:rFonts w:ascii="Times New Roman" w:hAnsi="Times New Roman" w:eastAsia="Times New Roman" w:cs="Times New Roman"/>
          <w:lang w:eastAsia="fr-FR"/>
        </w:rPr>
        <w:t xml:space="preserve">eat outputs are taken from the OpenModelica s</w:t>
      </w:r>
      <w:r>
        <w:rPr>
          <w:rFonts w:ascii="Times New Roman" w:hAnsi="Times New Roman" w:eastAsia="Times New Roman" w:cs="Times New Roman"/>
          <w:lang w:eastAsia="fr-FR"/>
        </w:rPr>
        <w:t xml:space="preserve">i</w:t>
      </w:r>
      <w:r>
        <w:rPr>
          <w:rFonts w:ascii="Times New Roman" w:hAnsi="Times New Roman" w:eastAsia="Times New Roman" w:cs="Times New Roman"/>
          <w:lang w:eastAsia="fr-FR"/>
        </w:rPr>
        <w:t xml:space="preserve">mulation of B</w:t>
      </w:r>
      <w:r>
        <w:rPr>
          <w:rFonts w:ascii="Times New Roman" w:hAnsi="Times New Roman" w:eastAsia="Times New Roman" w:cs="Times New Roman"/>
          <w:lang w:eastAsia="fr-FR"/>
        </w:rPr>
        <w:t xml:space="preserve">eerlage et al. (2024). They do</w:t>
      </w:r>
      <w:r>
        <w:rPr>
          <w:rFonts w:ascii="Times New Roman" w:hAnsi="Times New Roman" w:eastAsia="Times New Roman" w:cs="Times New Roman"/>
          <w:lang w:eastAsia="fr-FR"/>
        </w:rPr>
        <w:t xml:space="preserve"> not change that much from scenario to scenario, allowing to go with an average value and triangular uncertainty based on min and max value: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us</w:t>
      </w:r>
      <w:r>
        <w:rPr>
          <w:rFonts w:ascii="Times New Roman" w:hAnsi="Times New Roman" w:eastAsia="Times New Roman" w:cs="Times New Roman"/>
          <w:lang w:eastAsia="fr-FR"/>
        </w:rPr>
        <w:t xml:space="preserve">e (kg/kWh) = 0.08605 [0.08583–</w:t>
      </w:r>
      <w:r>
        <w:rPr>
          <w:rFonts w:ascii="Times New Roman" w:hAnsi="Times New Roman" w:eastAsia="Times New Roman" w:cs="Times New Roman"/>
          <w:lang w:eastAsia="fr-FR"/>
        </w:rPr>
        <w:t xml:space="preserve">0.08655]</w:t>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w:t>
      </w:r>
      <w:r>
        <w:rPr>
          <w:rFonts w:ascii="Times New Roman" w:hAnsi="Times New Roman" w:eastAsia="Times New Roman" w:cs="Times New Roman"/>
          <w:lang w:eastAsia="fr-FR"/>
        </w:rPr>
        <w:t xml:space="preserve">se (kg/MJ) = 0.01648 [0.01643–</w:t>
      </w:r>
      <w:r>
        <w:rPr>
          <w:rFonts w:ascii="Times New Roman" w:hAnsi="Times New Roman" w:eastAsia="Times New Roman" w:cs="Times New Roman"/>
          <w:lang w:eastAsia="fr-FR"/>
        </w:rPr>
        <w:t xml:space="preserve">0.01650]</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b/>
          <w:lang w:eastAsia="fr-FR"/>
        </w:rPr>
      </w:pPr>
      <w:r>
        <w:rPr>
          <w:rFonts w:ascii="Times New Roman" w:hAnsi="Times New Roman" w:eastAsia="Times New Roman" w:cs="Times New Roman"/>
          <w:b/>
          <w:lang w:eastAsia="fr-FR"/>
        </w:rPr>
        <w:t xml:space="preserve">This implies a flow repartition of 83.93 % to </w:t>
      </w:r>
      <w:r>
        <w:rPr>
          <w:rFonts w:ascii="Times New Roman" w:hAnsi="Times New Roman" w:eastAsia="Times New Roman" w:cs="Times New Roman"/>
          <w:b/>
          <w:lang w:eastAsia="fr-FR"/>
        </w:rPr>
        <w:t xml:space="preserve">Electricity</w:t>
      </w:r>
      <w:r>
        <w:rPr>
          <w:rFonts w:ascii="Times New Roman" w:hAnsi="Times New Roman" w:eastAsia="Times New Roman" w:cs="Times New Roman"/>
          <w:b/>
          <w:lang w:eastAsia="fr-FR"/>
        </w:rPr>
        <w:t xml:space="preserve"> and 16.07 % to Heat, which is used to allocate the rest of the flows.</w:t>
      </w:r>
      <w:r>
        <w:rPr>
          <w:rFonts w:ascii="Times New Roman" w:hAnsi="Times New Roman" w:eastAsia="Times New Roman" w:cs="Times New Roman"/>
          <w:b/>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Typical lubricating oil use for gas engine is 0.025 [0.01 - 0.05] e-03 kg/ MJ input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LHV </w:t>
      </w:r>
      <w:r>
        <w:rPr>
          <w:rFonts w:ascii="Times New Roman" w:hAnsi="Times New Roman" w:eastAsia="Times New Roman" w:cs="Times New Roman"/>
          <w:lang w:eastAsia="fr-FR"/>
        </w:rPr>
        <w:t xml:space="preserve">of </w:t>
      </w:r>
      <w:r>
        <w:rPr>
          <w:rFonts w:ascii="Times New Roman" w:hAnsi="Times New Roman" w:eastAsia="Times New Roman" w:cs="Times New Roman"/>
          <w:lang w:eastAsia="fr-FR"/>
        </w:rPr>
        <w:t xml:space="preserve">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considered in the </w:t>
      </w:r>
      <w:r>
        <w:rPr>
          <w:rFonts w:ascii="Times New Roman" w:hAnsi="Times New Roman" w:eastAsia="Times New Roman" w:cs="Times New Roman"/>
          <w:lang w:eastAsia="fr-FR"/>
        </w:rPr>
        <w:t xml:space="preserve">OpenModelica simulations is 119.88 MJ/kg</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Thus oil consumption is 2.997 [1.1988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5.994] e-03 kg /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Oil consumption </w:t>
      </w:r>
      <w:r>
        <w:rPr>
          <w:rFonts w:ascii="Times New Roman" w:hAnsi="Times New Roman" w:eastAsia="Times New Roman" w:cs="Times New Roman"/>
          <w:i/>
          <w:lang w:eastAsia="fr-FR"/>
        </w:rPr>
        <w:t xml:space="preserve">Electricity</w:t>
      </w:r>
      <w:r>
        <w:rPr>
          <w:rFonts w:ascii="Times New Roman" w:hAnsi="Times New Roman" w:eastAsia="Times New Roman" w:cs="Times New Roman"/>
          <w:i/>
          <w:lang w:eastAsia="fr-FR"/>
        </w:rPr>
        <w:t xml:space="preserve"> </w:t>
      </w:r>
      <w:r>
        <w:rPr>
          <w:rFonts w:ascii="Times New Roman" w:hAnsi="Times New Roman" w:eastAsia="Times New Roman" w:cs="Times New Roman"/>
          <w:i/>
          <w:lang w:eastAsia="fr-FR"/>
        </w:rPr>
        <w:t xml:space="preserve">(kg/kWh)</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2.997 [1.1988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5.994] e-03 * 0.08605 [0.08583</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0.08655]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2.579 [1.029</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5.188] e-04</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Oil consumption Heat </w:t>
      </w:r>
      <w:r>
        <w:rPr>
          <w:rFonts w:ascii="Times New Roman" w:hAnsi="Times New Roman" w:eastAsia="Times New Roman" w:cs="Times New Roman"/>
          <w:i/>
          <w:lang w:eastAsia="fr-FR"/>
        </w:rPr>
        <w:t xml:space="preserve">(kg/MJ)</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2.997 [1.1988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5.994] e-03 * 0.01648 [0.01643</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0.01650]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4.939 [1.969</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9.890] e-05</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Several biosphere flows are set to 0 to take into account the replacement of natural gas by H2:</w:t>
      </w:r>
      <w:r>
        <w:rPr>
          <w:rFonts w:ascii="Times New Roman" w:hAnsi="Times New Roman" w:eastAsia="Times New Roman" w:cs="Times New Roman"/>
          <w:lang w:eastAsia="fr-FR"/>
        </w:rPr>
      </w:r>
    </w:p>
    <w:p>
      <w:pPr>
        <w:pBdr/>
        <w:spacing w:after="0" w:line="240" w:lineRule="auto"/>
        <w:ind w:left="360"/>
        <w:jc w:val="left"/>
        <w:rPr>
          <w:rFonts w:ascii="Times New Roman" w:hAnsi="Times New Roman" w:eastAsia="Times New Roman" w:cs="Times New Roman"/>
          <w:i/>
          <w:lang w:eastAsia="fr-FR"/>
        </w:rPr>
      </w:pPr>
      <w:r>
        <w:rPr>
          <w:rFonts w:ascii="Times New Roman" w:hAnsi="Times New Roman" w:eastAsia="Times New Roman" w:cs="Times New Roman"/>
          <w:i/>
          <w:lang w:eastAsia="fr-FR"/>
        </w:rPr>
        <w:t xml:space="preserve">Carbon based fuel related flows:</w:t>
      </w:r>
      <w:r>
        <w:rPr>
          <w:rFonts w:ascii="Times New Roman" w:hAnsi="Times New Roman" w:eastAsia="Times New Roman" w:cs="Times New Roman"/>
          <w:i/>
          <w:lang w:eastAsia="fr-FR"/>
        </w:rPr>
      </w:r>
    </w:p>
    <w:p>
      <w:pPr>
        <w:pStyle w:val="801"/>
        <w:numPr>
          <w:ilvl w:val="0"/>
          <w:numId w:val="9"/>
        </w:numPr>
        <w:pBdr/>
        <w:spacing w:after="0" w:line="240" w:lineRule="auto"/>
        <w:ind w:left="1080"/>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Carbon dioxide, fossil</w:t>
      </w:r>
      <w:r>
        <w:rPr>
          <w:rFonts w:ascii="Times New Roman" w:hAnsi="Times New Roman" w:eastAsia="Times New Roman" w:cs="Times New Roman"/>
          <w:lang w:val="fr-FR" w:eastAsia="fr-FR"/>
        </w:rPr>
      </w:r>
    </w:p>
    <w:p>
      <w:pPr>
        <w:pStyle w:val="801"/>
        <w:numPr>
          <w:ilvl w:val="0"/>
          <w:numId w:val="9"/>
        </w:numPr>
        <w:pBdr/>
        <w:spacing w:after="0" w:line="240" w:lineRule="auto"/>
        <w:ind w:left="1080"/>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t xml:space="preserve">Carbon monoxide, fossil</w:t>
      </w:r>
      <w:r>
        <w:rPr>
          <w:rFonts w:ascii="Times New Roman" w:hAnsi="Times New Roman" w:eastAsia="Times New Roman" w:cs="Times New Roman"/>
          <w:lang w:val="fr-FR" w:eastAsia="fr-FR"/>
        </w:rPr>
      </w:r>
    </w:p>
    <w:p>
      <w:pPr>
        <w:pStyle w:val="801"/>
        <w:numPr>
          <w:ilvl w:val="0"/>
          <w:numId w:val="9"/>
        </w:numPr>
        <w:pBdr/>
        <w:spacing w:after="0" w:line="240" w:lineRule="auto"/>
        <w:ind w:left="1080"/>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Methane, fossil</w:t>
      </w:r>
      <w:r>
        <w:rPr>
          <w:rFonts w:ascii="Times New Roman" w:hAnsi="Times New Roman" w:eastAsia="Times New Roman" w:cs="Times New Roman"/>
          <w:lang w:eastAsia="fr-FR"/>
        </w:rPr>
      </w:r>
    </w:p>
    <w:p>
      <w:pPr>
        <w:pStyle w:val="801"/>
        <w:numPr>
          <w:ilvl w:val="0"/>
          <w:numId w:val="9"/>
        </w:numPr>
        <w:pBdr/>
        <w:spacing w:after="0" w:line="240" w:lineRule="auto"/>
        <w:ind w:left="1080"/>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Sulfur dioxide</w:t>
      </w:r>
      <w:r>
        <w:rPr>
          <w:rFonts w:ascii="Times New Roman" w:hAnsi="Times New Roman" w:eastAsia="Times New Roman" w:cs="Times New Roman"/>
          <w:lang w:eastAsia="fr-FR"/>
        </w:rPr>
      </w:r>
    </w:p>
    <w:p>
      <w:pPr>
        <w:pBdr/>
        <w:spacing w:after="0" w:line="240" w:lineRule="auto"/>
        <w:ind w:left="360"/>
        <w:jc w:val="left"/>
        <w:rPr>
          <w:rFonts w:ascii="Times New Roman" w:hAnsi="Times New Roman" w:eastAsia="Times New Roman" w:cs="Times New Roman"/>
          <w:i/>
          <w:lang w:eastAsia="fr-FR"/>
        </w:rPr>
      </w:pPr>
      <w:r>
        <w:rPr>
          <w:rFonts w:ascii="Times New Roman" w:hAnsi="Times New Roman" w:eastAsia="Times New Roman" w:cs="Times New Roman"/>
          <w:i/>
          <w:lang w:eastAsia="fr-FR"/>
        </w:rPr>
        <w:t xml:space="preserve">Nitrogen based fuel related flow:</w:t>
      </w:r>
      <w:r>
        <w:rPr>
          <w:rFonts w:ascii="Times New Roman" w:hAnsi="Times New Roman" w:eastAsia="Times New Roman" w:cs="Times New Roman"/>
          <w:i/>
          <w:lang w:eastAsia="fr-FR"/>
        </w:rPr>
      </w:r>
    </w:p>
    <w:p>
      <w:pPr>
        <w:pStyle w:val="801"/>
        <w:numPr>
          <w:ilvl w:val="0"/>
          <w:numId w:val="9"/>
        </w:numPr>
        <w:pBdr/>
        <w:spacing w:after="0" w:line="240" w:lineRule="auto"/>
        <w:ind w:left="1080"/>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Dinitrogen monoxide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Other biosphere flows are adapted:</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i/>
          <w:lang w:eastAsia="fr-FR"/>
        </w:rPr>
      </w:pPr>
      <w:r>
        <w:rPr>
          <w:rFonts w:ascii="Times New Roman" w:hAnsi="Times New Roman" w:eastAsia="Times New Roman" w:cs="Times New Roman"/>
          <w:i/>
          <w:lang w:eastAsia="fr-FR"/>
        </w:rPr>
        <w:t xml:space="preserve">Nitrogen oxides:</w:t>
      </w:r>
      <w:r>
        <w:rPr>
          <w:rFonts w:ascii="Times New Roman" w:hAnsi="Times New Roman" w:eastAsia="Times New Roman" w:cs="Times New Roman"/>
          <w:i/>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 theory, using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instead of natural gas has the potential to lead to an increase of 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emissions.</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That being said, the operation parameters of the OpenModelica simulation are based on:</w:t>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1500 rpm engine</w:t>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λ = 2.6 (ultra lean burn)</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emissions becomes very low even in the case of pure H2 combustion (see Heffel 2003, Verhelst &amp; Wallner 2009, Sterlepper et al. 2021)</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An assumption of 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emission rate 10 to 50 ppm seems reasonable.</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translates into 0.00255 [0.0001</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0.005] kg /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Thus the computations:</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(kg / kWh or MJ) = 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emission rate (kg /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w:t>
      </w: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t xml:space="preserve"> or Heat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use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kWh or MJ)</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NOx </w:t>
      </w:r>
      <w:r>
        <w:rPr>
          <w:rFonts w:ascii="Times New Roman" w:hAnsi="Times New Roman" w:eastAsia="Times New Roman" w:cs="Times New Roman"/>
          <w:i/>
          <w:lang w:eastAsia="fr-FR"/>
        </w:rPr>
        <w:t xml:space="preserve">emissions Electricity </w:t>
      </w:r>
      <w:r>
        <w:rPr>
          <w:rFonts w:ascii="Times New Roman" w:hAnsi="Times New Roman" w:eastAsia="Times New Roman" w:cs="Times New Roman"/>
          <w:i/>
          <w:lang w:eastAsia="fr-FR"/>
        </w:rPr>
        <w:t xml:space="preserve">(kg/kWh)</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0.00255 [0.0001</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0.005] * 0.08605 [0.08583</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0.08655]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2.1943 [0.0858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4.3275] e-04</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NOx </w:t>
      </w:r>
      <w:r>
        <w:rPr>
          <w:rFonts w:ascii="Times New Roman" w:hAnsi="Times New Roman" w:eastAsia="Times New Roman" w:cs="Times New Roman"/>
          <w:i/>
          <w:lang w:eastAsia="fr-FR"/>
        </w:rPr>
        <w:t xml:space="preserve">emissions Heat </w:t>
      </w:r>
      <w:r>
        <w:rPr>
          <w:rFonts w:ascii="Times New Roman" w:hAnsi="Times New Roman" w:eastAsia="Times New Roman" w:cs="Times New Roman"/>
          <w:i/>
          <w:lang w:eastAsia="fr-FR"/>
        </w:rPr>
        <w:t xml:space="preserve">(kg/MJ)</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0.00255 [0.0001</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0.005] * 0.01648 [0.01643</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0.01650]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4.2024 [0.1648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8.25] e-05</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is a conservative estimate: </w:t>
      </w:r>
      <w:r>
        <w:rPr>
          <w:rFonts w:ascii="Times New Roman" w:hAnsi="Times New Roman" w:eastAsia="Times New Roman" w:cs="Times New Roman"/>
          <w:lang w:eastAsia="fr-FR"/>
        </w:rPr>
        <w:t xml:space="preserve">in </w:t>
      </w:r>
      <w:r>
        <w:rPr>
          <w:rFonts w:ascii="Times New Roman" w:hAnsi="Times New Roman" w:eastAsia="Times New Roman" w:cs="Times New Roman"/>
          <w:lang w:eastAsia="fr-FR"/>
        </w:rPr>
        <w:t xml:space="preserve">measurements</w:t>
      </w:r>
      <w:r>
        <w:rPr>
          <w:rFonts w:ascii="Times New Roman" w:hAnsi="Times New Roman" w:eastAsia="Times New Roman" w:cs="Times New Roman"/>
          <w:lang w:eastAsia="fr-FR"/>
        </w:rPr>
        <w:t xml:space="preserve"> realized by N. Salim et al. on a 4-cylinder engine (1 </w:t>
      </w:r>
      <w:r>
        <w:rPr>
          <w:rFonts w:ascii="Times New Roman" w:hAnsi="Times New Roman" w:eastAsia="Times New Roman" w:cs="Times New Roman"/>
          <w:lang w:eastAsia="fr-FR"/>
        </w:rPr>
        <w:t xml:space="preserve">cylinder with </w:t>
      </w:r>
      <w:r>
        <w:rPr>
          <w:rFonts w:ascii="Times New Roman" w:hAnsi="Times New Roman" w:eastAsia="Times New Roman" w:cs="Times New Roman"/>
          <w:lang w:eastAsia="fr-FR"/>
        </w:rPr>
        <w:t xml:space="preserve">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w:t>
      </w:r>
      <w:r>
        <w:rPr>
          <w:rFonts w:ascii="Times New Roman" w:hAnsi="Times New Roman" w:eastAsia="Times New Roman" w:cs="Times New Roman"/>
          <w:lang w:eastAsia="fr-FR"/>
        </w:rPr>
        <w:t xml:space="preserve">3 </w:t>
      </w:r>
      <w:r>
        <w:rPr>
          <w:rFonts w:ascii="Times New Roman" w:hAnsi="Times New Roman" w:eastAsia="Times New Roman" w:cs="Times New Roman"/>
          <w:lang w:eastAsia="fr-FR"/>
        </w:rPr>
        <w:t xml:space="preserve">cylinders with </w:t>
      </w:r>
      <w:r>
        <w:rPr>
          <w:rFonts w:ascii="Times New Roman" w:hAnsi="Times New Roman" w:eastAsia="Times New Roman" w:cs="Times New Roman"/>
          <w:lang w:eastAsia="fr-FR"/>
        </w:rPr>
        <w:t xml:space="preserve">natural gas, </w:t>
      </w:r>
      <w:r>
        <w:rPr>
          <w:rFonts w:ascii="Times New Roman" w:hAnsi="Times New Roman" w:eastAsia="Times New Roman" w:cs="Times New Roman"/>
          <w:lang w:eastAsia="fr-FR"/>
        </w:rPr>
        <w:t xml:space="preserve">λ = </w:t>
      </w:r>
      <w:r>
        <w:rPr>
          <w:rFonts w:ascii="Times New Roman" w:hAnsi="Times New Roman" w:eastAsia="Times New Roman" w:cs="Times New Roman"/>
          <w:lang w:eastAsia="fr-FR"/>
        </w:rPr>
        <w:t xml:space="preserve">2.6</w:t>
      </w:r>
      <w:r>
        <w:rPr>
          <w:rFonts w:ascii="Times New Roman" w:hAnsi="Times New Roman" w:eastAsia="Times New Roman" w:cs="Times New Roman"/>
          <w:lang w:eastAsia="fr-FR"/>
        </w:rPr>
        <w:t xml:space="preserve">, 1500 rpm)</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br/>
        <w:t xml:space="preserve">→</w:t>
      </w:r>
      <w:r>
        <w:rPr>
          <w:rFonts w:ascii="Times New Roman" w:hAnsi="Times New Roman" w:eastAsia="Times New Roman" w:cs="Times New Roman"/>
          <w:lang w:eastAsia="fr-FR"/>
        </w:rPr>
        <w:t xml:space="preserve"> NO</w:t>
      </w:r>
      <w:r>
        <w:rPr>
          <w:rFonts w:ascii="Times New Roman" w:hAnsi="Times New Roman" w:eastAsia="Times New Roman" w:cs="Times New Roman"/>
          <w:vertAlign w:val="subscript"/>
          <w:lang w:eastAsia="fr-FR"/>
        </w:rPr>
        <w:t xml:space="preserve">x</w:t>
      </w:r>
      <w:r>
        <w:rPr>
          <w:rFonts w:ascii="Times New Roman" w:hAnsi="Times New Roman" w:eastAsia="Times New Roman" w:cs="Times New Roman"/>
          <w:lang w:eastAsia="fr-FR"/>
        </w:rPr>
        <w:t xml:space="preserve"> levels at arround 100 ppm (94 ppm NO + 4 ppm NO</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i/>
          <w:lang w:eastAsia="fr-FR"/>
        </w:rPr>
      </w:pPr>
      <w:r>
        <w:rPr>
          <w:rFonts w:ascii="Times New Roman" w:hAnsi="Times New Roman" w:eastAsia="Times New Roman" w:cs="Times New Roman"/>
          <w:i/>
          <w:lang w:eastAsia="fr-FR"/>
        </w:rPr>
        <w:t xml:space="preserve">Particulate Matter, &lt; 2.5 µ</w:t>
      </w:r>
      <w:r>
        <w:rPr>
          <w:rFonts w:ascii="Times New Roman" w:hAnsi="Times New Roman" w:eastAsia="Times New Roman" w:cs="Times New Roman"/>
          <w:i/>
          <w:lang w:eastAsia="fr-FR"/>
        </w:rPr>
        <w:t xml:space="preserve">m:</w:t>
      </w:r>
      <w:r>
        <w:rPr>
          <w:rFonts w:ascii="Times New Roman" w:hAnsi="Times New Roman" w:eastAsia="Times New Roman" w:cs="Times New Roman"/>
          <w:i/>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Emissions comes from carbon based fuel (absent) and lubricating oil (present)</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Lubricating oil dominates PM emissions in engines (Worton et al. 2014) so we assume all PM emissions results from it for simplicity.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Using:</w:t>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 central or small-scale, natural gas | heat and power co-generation, natural gas, 50kW electrical, lean burn (CH)"</w:t>
      </w:r>
      <w:r>
        <w:rPr>
          <w:rFonts w:ascii="Times New Roman" w:hAnsi="Times New Roman" w:eastAsia="Times New Roman" w:cs="Times New Roman"/>
          <w:lang w:eastAsia="fr-FR"/>
        </w:rPr>
      </w:r>
    </w:p>
    <w:p>
      <w:pPr>
        <w:pStyle w:val="801"/>
        <w:numPr>
          <w:ilvl w:val="0"/>
          <w:numId w:val="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low voltage | heat and power co-generation, natural gas, 50kW electrical, lean burn (CH)"</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ratio of PM emissions to lubricating oil consumption is 0.005.</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PM emissions are calculated:</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PM </w:t>
      </w:r>
      <w:r>
        <w:rPr>
          <w:rFonts w:ascii="Times New Roman" w:hAnsi="Times New Roman" w:eastAsia="Times New Roman" w:cs="Times New Roman"/>
          <w:i/>
          <w:lang w:eastAsia="fr-FR"/>
        </w:rPr>
        <w:t xml:space="preserve">emissions </w:t>
      </w:r>
      <w:r>
        <w:rPr>
          <w:rFonts w:ascii="Times New Roman" w:hAnsi="Times New Roman" w:eastAsia="Times New Roman" w:cs="Times New Roman"/>
          <w:i/>
          <w:lang w:eastAsia="fr-FR"/>
        </w:rPr>
        <w:t xml:space="preserve">Electricity</w:t>
      </w:r>
      <w:r>
        <w:rPr>
          <w:rFonts w:ascii="Times New Roman" w:hAnsi="Times New Roman" w:eastAsia="Times New Roman" w:cs="Times New Roman"/>
          <w:i/>
          <w:lang w:eastAsia="fr-FR"/>
        </w:rPr>
        <w:t xml:space="preserve"> (kg / kWh)</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0.005 * Oil consumption </w:t>
      </w:r>
      <w:r>
        <w:rPr>
          <w:rFonts w:ascii="Times New Roman" w:hAnsi="Times New Roman" w:eastAsia="Times New Roman" w:cs="Times New Roman"/>
          <w:lang w:eastAsia="fr-FR"/>
        </w:rPr>
        <w:t xml:space="preserve">Electricity</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0.005 * 2.579 [1.029</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5.188] e-04 </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1.290 [0.515</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2.594] e-06</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i/>
          <w:lang w:eastAsia="fr-FR"/>
        </w:rPr>
        <w:t xml:space="preserve">PM </w:t>
      </w:r>
      <w:r>
        <w:rPr>
          <w:rFonts w:ascii="Times New Roman" w:hAnsi="Times New Roman" w:eastAsia="Times New Roman" w:cs="Times New Roman"/>
          <w:i/>
          <w:lang w:eastAsia="fr-FR"/>
        </w:rPr>
        <w:t xml:space="preserve">emissions </w:t>
      </w:r>
      <w:r>
        <w:rPr>
          <w:rFonts w:ascii="Times New Roman" w:hAnsi="Times New Roman" w:eastAsia="Times New Roman" w:cs="Times New Roman"/>
          <w:i/>
          <w:lang w:eastAsia="fr-FR"/>
        </w:rPr>
        <w:t xml:space="preserve">Heat (kg / MJ)</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 0.005 * Oil consumption Heat</w:t>
      </w:r>
      <w:r>
        <w:rPr>
          <w:rFonts w:ascii="Times New Roman" w:hAnsi="Times New Roman" w:eastAsia="Times New Roman" w:cs="Times New Roman"/>
          <w:lang w:eastAsia="fr-FR"/>
        </w:rPr>
      </w:r>
    </w:p>
    <w:p>
      <w:pPr>
        <w:pBdr/>
        <w:spacing w:after="0" w:line="240" w:lineRule="auto"/>
        <w:ind w:left="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0.005 * 4.939 [1.969</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9.890] e-05</w:t>
      </w:r>
      <w:r>
        <w:rPr>
          <w:rFonts w:ascii="Times New Roman" w:hAnsi="Times New Roman" w:eastAsia="Times New Roman" w:cs="Times New Roman"/>
          <w:lang w:eastAsia="fr-FR"/>
        </w:rPr>
      </w:r>
    </w:p>
    <w:p>
      <w:pPr>
        <w:pBdr/>
        <w:spacing/>
        <w:ind w:left="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2.4695 [0.985</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4.945] e-07</w:t>
      </w:r>
      <w:r>
        <w:rPr>
          <w:rFonts w:ascii="Times New Roman" w:hAnsi="Times New Roman" w:eastAsia="Times New Roman" w:cs="Times New Roman"/>
          <w:lang w:eastAsia="fr-FR"/>
        </w:rPr>
      </w:r>
    </w:p>
    <w:p>
      <w:pPr>
        <w:pBdr/>
        <w:spacing w:after="160" w:line="259" w:lineRule="auto"/>
        <w:ind/>
        <w:jc w:val="left"/>
        <w:rPr>
          <w:rFonts w:eastAsia="Times New Roman" w:cstheme="minorHAnsi"/>
          <w:b/>
          <w:sz w:val="22"/>
          <w:szCs w:val="22"/>
          <w:lang w:eastAsia="fr-FR"/>
        </w:rPr>
      </w:pPr>
      <w:r>
        <w:rPr>
          <w:rFonts w:eastAsia="Times New Roman" w:cstheme="minorHAnsi"/>
          <w:b/>
          <w:sz w:val="22"/>
          <w:szCs w:val="22"/>
          <w:lang w:eastAsia="fr-FR"/>
        </w:rPr>
        <w:br w:type="page" w:clear="all"/>
      </w:r>
      <w:r>
        <w:rPr>
          <w:rFonts w:eastAsia="Times New Roman" w:cstheme="minorHAnsi"/>
          <w:b/>
          <w:sz w:val="22"/>
          <w:szCs w:val="22"/>
          <w:lang w:eastAsia="fr-FR"/>
        </w:rPr>
      </w:r>
    </w:p>
    <w:p>
      <w:pPr>
        <w:pStyle w:val="791"/>
        <w:pBdr/>
        <w:spacing/>
        <w:ind/>
        <w:rPr>
          <w:rStyle w:val="800"/>
        </w:rPr>
      </w:pPr>
      <w:r/>
      <w:bookmarkStart w:id="2" w:name="_Toc201162116"/>
      <w:r>
        <w:rPr>
          <w:rStyle w:val="800"/>
        </w:rPr>
        <w:t xml:space="preserve">PV</w:t>
      </w:r>
      <w:r>
        <w:rPr>
          <w:rStyle w:val="800"/>
        </w:rPr>
        <w:t xml:space="preserve"> flows</w:t>
      </w:r>
      <w:bookmarkEnd w:id="2"/>
      <w:r/>
      <w:r>
        <w:rPr>
          <w:rStyle w:val="800"/>
        </w:rPr>
      </w:r>
    </w:p>
    <w:p>
      <w:pPr>
        <w:pBdr/>
        <w:spacing w:after="0" w:line="240" w:lineRule="auto"/>
        <w:ind/>
        <w:jc w:val="left"/>
        <w:rPr>
          <w:rFonts w:eastAsia="Times New Roman" w:cstheme="minorHAnsi"/>
          <w:b/>
          <w:sz w:val="24"/>
          <w:szCs w:val="24"/>
          <w:lang w:eastAsia="fr-FR"/>
        </w:rPr>
      </w:pPr>
      <w:r>
        <w:rPr>
          <w:rFonts w:eastAsia="Times New Roman" w:cstheme="minorHAnsi"/>
          <w:b/>
          <w:sz w:val="24"/>
          <w:szCs w:val="24"/>
          <w:lang w:eastAsia="fr-FR"/>
        </w:rPr>
        <w:t xml:space="preserve">P</w:t>
      </w:r>
      <w:r>
        <w:rPr>
          <w:rFonts w:eastAsia="Times New Roman" w:cstheme="minorHAnsi"/>
          <w:b/>
          <w:sz w:val="24"/>
          <w:szCs w:val="24"/>
          <w:lang w:eastAsia="fr-FR"/>
        </w:rPr>
        <w:t xml:space="preserve">hotovoltaic slanted-roof installation, 0.9MWp, multi-Si, panel, mounted, on roof</w:t>
      </w:r>
      <w:r>
        <w:rPr>
          <w:rFonts w:eastAsia="Times New Roman" w:cstheme="minorHAnsi"/>
          <w:b/>
          <w:sz w:val="24"/>
          <w:szCs w:val="24"/>
          <w:lang w:eastAsia="fr-FR"/>
        </w:rPr>
      </w:r>
    </w:p>
    <w:p>
      <w:pPr>
        <w:pBdr/>
        <w:spacing w:after="0" w:line="240" w:lineRule="auto"/>
        <w:ind/>
        <w:jc w:val="left"/>
        <w:rPr>
          <w:rFonts w:eastAsia="Times New Roman" w:cstheme="minorHAnsi"/>
          <w:sz w:val="22"/>
          <w:szCs w:val="22"/>
          <w:lang w:eastAsia="fr-FR"/>
        </w:rPr>
      </w:pPr>
      <w:r>
        <w:rPr>
          <w:rFonts w:eastAsia="Times New Roman" w:cstheme="minorHAnsi"/>
          <w:sz w:val="22"/>
          <w:szCs w:val="22"/>
          <w:lang w:eastAsia="fr-FR"/>
        </w:rPr>
      </w:r>
      <w:r>
        <w:rPr>
          <w:rFonts w:eastAsia="Times New Roman" w:cstheme="minorHAnsi"/>
          <w:sz w:val="22"/>
          <w:szCs w:val="22"/>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is based on comparison of the ecoinvent 3.10 activities for 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and 570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installations.</w:t>
      </w:r>
      <w:r>
        <w:rPr>
          <w:rFonts w:ascii="Times New Roman" w:hAnsi="Times New Roman" w:eastAsia="Times New Roman" w:cs="Times New Roman"/>
          <w:lang w:eastAsia="fr-FR"/>
        </w:rPr>
      </w:r>
    </w:p>
    <w:p>
      <w:pPr>
        <w:pStyle w:val="801"/>
        <w:numPr>
          <w:ilvl w:val="0"/>
          <w:numId w:val="9"/>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"photovoltaic slanted-roof installation, 3kWp, multi-Si, panel, mounted, on roof (CH)"</w:t>
      </w:r>
      <w:r>
        <w:rPr>
          <w:rFonts w:ascii="Times New Roman" w:hAnsi="Times New Roman" w:eastAsia="Times New Roman" w:cs="Times New Roman"/>
          <w:lang w:eastAsia="fr-FR"/>
        </w:rPr>
      </w:r>
    </w:p>
    <w:p>
      <w:pPr>
        <w:pStyle w:val="801"/>
        <w:numPr>
          <w:ilvl w:val="0"/>
          <w:numId w:val="9"/>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"photovoltaic plant construction, 570kWp, multi-Si, on open ground (GLO)"</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Lifetime : 30 years (no modification compared to the slanted roof installation activity)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Normalized flows per kW installed shows a linear progression for:</w:t>
      </w:r>
      <w:r>
        <w:rPr>
          <w:rFonts w:ascii="Times New Roman" w:hAnsi="Times New Roman" w:eastAsia="Times New Roman" w:cs="Times New Roman"/>
          <w:lang w:eastAsia="fr-FR"/>
        </w:rPr>
      </w:r>
    </w:p>
    <w:p>
      <w:pPr>
        <w:pStyle w:val="801"/>
        <w:numPr>
          <w:ilvl w:val="0"/>
          <w:numId w:val="9"/>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market for photovoltaic mounting system (m</w:t>
      </w:r>
      <w:r>
        <w:rPr>
          <w:rFonts w:ascii="Times New Roman" w:hAnsi="Times New Roman" w:eastAsia="Times New Roman" w:cs="Times New Roman"/>
          <w:vertAlign w:val="super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Style w:val="801"/>
        <w:numPr>
          <w:ilvl w:val="0"/>
          <w:numId w:val="9"/>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market for photovoltaic panel, multi-Si wafer (m</w:t>
      </w:r>
      <w:r>
        <w:rPr>
          <w:rFonts w:ascii="Times New Roman" w:hAnsi="Times New Roman" w:eastAsia="Times New Roman" w:cs="Times New Roman"/>
          <w:vertAlign w:val="super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Indeed,</w:t>
      </w:r>
      <w:r>
        <w:rPr>
          <w:rFonts w:ascii="Times New Roman" w:hAnsi="Times New Roman" w:eastAsia="Times New Roman" w:cs="Times New Roman"/>
          <w:lang w:eastAsia="fr-FR"/>
        </w:rPr>
        <w:t xml:space="preserve"> their normalized ratios = 0.987, equivalent to only 1.3% flow economy with installed capacity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"electricity, low voltage" flow shows a </w:t>
      </w:r>
      <w:r>
        <w:rPr>
          <w:rFonts w:ascii="Times New Roman" w:hAnsi="Times New Roman" w:eastAsia="Times New Roman" w:cs="Times New Roman"/>
          <w:lang w:eastAsia="fr-FR"/>
        </w:rPr>
        <w:t xml:space="preserve">nonlinear</w:t>
      </w:r>
      <w:r>
        <w:rPr>
          <w:rFonts w:ascii="Times New Roman" w:hAnsi="Times New Roman" w:eastAsia="Times New Roman" w:cs="Times New Roman"/>
          <w:lang w:eastAsia="fr-FR"/>
        </w:rPr>
        <w:t xml:space="preserve"> progression: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Indeed, ratio between normalized activities is 0.825, equivalent to 17.5% flow economy with installed capacity.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this flow, we thus use a power progression following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Based on the 2 previously mentioned activities, we determine a factor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0.9632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0.23 * (900/3)</w:t>
      </w:r>
      <w:r>
        <w:rPr>
          <w:rFonts w:ascii="Times New Roman" w:hAnsi="Times New Roman" w:eastAsia="Times New Roman" w:cs="Times New Roman"/>
          <w:vertAlign w:val="superscript"/>
          <w:lang w:eastAsia="fr-FR"/>
        </w:rPr>
        <w:t xml:space="preserve">0.9632</w:t>
      </w:r>
      <w:r>
        <w:rPr>
          <w:rFonts w:ascii="Times New Roman" w:hAnsi="Times New Roman" w:eastAsia="Times New Roman" w:cs="Times New Roman"/>
          <w:lang w:eastAsia="fr-FR"/>
        </w:rPr>
        <w:t xml:space="preserve"> = 55.94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36.033 * (900/570)</w:t>
      </w:r>
      <w:r>
        <w:rPr>
          <w:rFonts w:ascii="Times New Roman" w:hAnsi="Times New Roman" w:eastAsia="Times New Roman" w:cs="Times New Roman"/>
          <w:vertAlign w:val="superscript"/>
          <w:lang w:eastAsia="fr-FR"/>
        </w:rPr>
        <w:t xml:space="preserve">0.9632</w:t>
      </w:r>
      <w:r>
        <w:rPr>
          <w:rFonts w:ascii="Times New Roman" w:hAnsi="Times New Roman" w:eastAsia="Times New Roman" w:cs="Times New Roman"/>
          <w:lang w:eastAsia="fr-FR"/>
        </w:rPr>
        <w:t xml:space="preserve"> = 55.95</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choose: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55.945 kWh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Furthermore, the "market for electricity, low voltage, CH" activity is replaced by the DE version.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Situation is similar (the other way arround) for inverter capacity installed:</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 * market for inverter, 2.5</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=&gt; 6</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3.126 * market for inverter,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=&gt; 1563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Indeed, ratio between normalized per kWp activities is 1.37, equivalent to 37% flow overuse with installed capacity.</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determined factor b=1.0601</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6 * (900/3)</w:t>
      </w:r>
      <w:r>
        <w:rPr>
          <w:rFonts w:ascii="Times New Roman" w:hAnsi="Times New Roman" w:eastAsia="Times New Roman" w:cs="Times New Roman"/>
          <w:vertAlign w:val="superscript"/>
          <w:lang w:eastAsia="fr-FR"/>
        </w:rPr>
        <w:t xml:space="preserve">1.0601</w:t>
      </w:r>
      <w:r>
        <w:rPr>
          <w:rFonts w:ascii="Times New Roman" w:hAnsi="Times New Roman" w:eastAsia="Times New Roman" w:cs="Times New Roman"/>
          <w:lang w:eastAsia="fr-FR"/>
        </w:rPr>
        <w:t xml:space="preserve"> = 2536</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1563 * (900/570)</w:t>
      </w:r>
      <w:r>
        <w:rPr>
          <w:rFonts w:ascii="Times New Roman" w:hAnsi="Times New Roman" w:eastAsia="Times New Roman" w:cs="Times New Roman"/>
          <w:vertAlign w:val="superscript"/>
          <w:lang w:eastAsia="fr-FR"/>
        </w:rPr>
        <w:t xml:space="preserve">1.0601</w:t>
      </w:r>
      <w:r>
        <w:rPr>
          <w:rFonts w:ascii="Times New Roman" w:hAnsi="Times New Roman" w:eastAsia="Times New Roman" w:cs="Times New Roman"/>
          <w:lang w:eastAsia="fr-FR"/>
        </w:rPr>
        <w:t xml:space="preserve"> = 2536.6</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choose</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2536.3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translates into:</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5.073 * market for inverter,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Regarding electric installation, where sub-processes are identical:</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Across positive values of sub-process flows: </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0.67 with 40.2% deviation</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Removing the polycarbonate extreme outlier:</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0.758 with 9.47% deviation</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Further removing the polyvinylchloride of b=0.58:</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0.78 with 3.77% deviation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removed outliers does not seem to have meaningful influence on impacts, as: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across impact categories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0.746 with 2.1% deviation</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 unit * (900/3)</w:t>
      </w:r>
      <w:r>
        <w:rPr>
          <w:rFonts w:ascii="Times New Roman" w:hAnsi="Times New Roman" w:eastAsia="Times New Roman" w:cs="Times New Roman"/>
          <w:vertAlign w:val="superscript"/>
          <w:lang w:eastAsia="fr-FR"/>
        </w:rPr>
        <w:t xml:space="preserve">0.746</w:t>
      </w:r>
      <w:r>
        <w:rPr>
          <w:rFonts w:ascii="Times New Roman" w:hAnsi="Times New Roman" w:eastAsia="Times New Roman" w:cs="Times New Roman"/>
          <w:lang w:eastAsia="fr-FR"/>
        </w:rPr>
        <w:t xml:space="preserve"> = 70.46 units of 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electric installation</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 unit * (900/570)</w:t>
      </w:r>
      <w:r>
        <w:rPr>
          <w:rFonts w:ascii="Times New Roman" w:hAnsi="Times New Roman" w:eastAsia="Times New Roman" w:cs="Times New Roman"/>
          <w:vertAlign w:val="superscript"/>
          <w:lang w:eastAsia="fr-FR"/>
        </w:rPr>
        <w:t xml:space="preserve">0.746</w:t>
      </w:r>
      <w:r>
        <w:rPr>
          <w:rFonts w:ascii="Times New Roman" w:hAnsi="Times New Roman" w:eastAsia="Times New Roman" w:cs="Times New Roman"/>
          <w:lang w:eastAsia="fr-FR"/>
        </w:rPr>
        <w:t xml:space="preserve"> = 1.41 units of 570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electric installation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choice is of no consequence here, so we chose: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70.46 units of 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electric installation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eastAsia="Times New Roman" w:cstheme="minorHAnsi"/>
          <w:sz w:val="22"/>
          <w:szCs w:val="22"/>
          <w:lang w:eastAsia="fr-FR"/>
        </w:rPr>
      </w:pPr>
      <w:r>
        <w:rPr>
          <w:rFonts w:ascii="Times New Roman" w:hAnsi="Times New Roman" w:eastAsia="Times New Roman" w:cs="Times New Roman"/>
          <w:lang w:eastAsia="fr-FR"/>
        </w:rPr>
        <w:t xml:space="preserve">The "market for diesel, burned in building machine" of the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plant is not conserved to keep our created activity closer to a slanted roof installation.</w:t>
      </w:r>
      <w:r>
        <w:rPr>
          <w:rFonts w:eastAsia="Times New Roman" w:cstheme="minorHAnsi"/>
          <w:sz w:val="22"/>
          <w:szCs w:val="22"/>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 production, from 0.9MW PV</w:t>
      </w:r>
      <w:r>
        <w:rPr>
          <w:rFonts w:eastAsia="Times New Roman" w:cstheme="minorHAnsi"/>
          <w:b/>
          <w:sz w:val="24"/>
          <w:szCs w:val="24"/>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ecoinvent computation:</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y * kWp/unit * kWh/(kWp*1y)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30 * 3 * annu</w:t>
      </w:r>
      <w:r>
        <w:rPr>
          <w:rFonts w:ascii="Times New Roman" w:hAnsi="Times New Roman" w:eastAsia="Times New Roman" w:cs="Times New Roman"/>
          <w:lang w:eastAsia="fr-FR"/>
        </w:rPr>
        <w:t xml:space="preserve">al yield</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90 * annual yield</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x kWh/unit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should give 1.4447e-05 unit/kWh</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ecoinvent 3.10 annual yield = (1/1.4447e-05)/90 = 771.605 kWh for a 3 kWp unit</w:t>
      </w:r>
      <w:r>
        <w:rPr>
          <w:rFonts w:ascii="Times New Roman" w:hAnsi="Times New Roman" w:eastAsia="Times New Roman" w:cs="Times New Roman"/>
          <w:lang w:eastAsia="fr-FR"/>
        </w:rPr>
        <w:t xml:space="preserve"> (reference value).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 Electricity annual yields b</w:t>
      </w:r>
      <w:r>
        <w:rPr>
          <w:rFonts w:ascii="Times New Roman" w:hAnsi="Times New Roman" w:eastAsia="Times New Roman" w:cs="Times New Roman"/>
          <w:lang w:eastAsia="fr-FR"/>
        </w:rPr>
        <w:t xml:space="preserve">ased on </w:t>
      </w:r>
      <w:r>
        <w:rPr>
          <w:rFonts w:ascii="Times New Roman" w:hAnsi="Times New Roman" w:eastAsia="Times New Roman" w:cs="Times New Roman"/>
          <w:lang w:eastAsia="fr-FR"/>
        </w:rPr>
        <w:t xml:space="preserve">the </w:t>
      </w:r>
      <w:r>
        <w:rPr>
          <w:rFonts w:ascii="Times New Roman" w:hAnsi="Times New Roman" w:eastAsia="Times New Roman" w:cs="Times New Roman"/>
          <w:lang w:eastAsia="fr-FR"/>
        </w:rPr>
        <w:t xml:space="preserve">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https://github.com/IKKUeng</w:t>
      </w:r>
      <w:r>
        <w:rPr>
          <w:rFonts w:ascii="Times New Roman" w:hAnsi="Times New Roman" w:eastAsia="Times New Roman" w:cs="Times New Roman"/>
          <w:lang w:eastAsia="fr-FR"/>
        </w:rPr>
        <w:t xml:space="preserve">ine/CO2InnO-H2-CHP-Demonstrator)</w:t>
      </w:r>
      <w:r>
        <w:rPr>
          <w:rFonts w:ascii="Times New Roman" w:hAnsi="Times New Roman" w:eastAsia="Times New Roman" w:cs="Times New Roman"/>
          <w:lang w:eastAsia="fr-FR"/>
        </w:rPr>
      </w:r>
    </w:p>
    <w:p>
      <w:pPr>
        <w:pStyle w:val="801"/>
        <w:numPr>
          <w:ilvl w:val="0"/>
          <w:numId w:val="1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30 years (same as original ecoinvent 3.10 activity)</w:t>
      </w:r>
      <w:r>
        <w:rPr>
          <w:rFonts w:ascii="Times New Roman" w:hAnsi="Times New Roman" w:eastAsia="Times New Roman" w:cs="Times New Roman"/>
          <w:lang w:eastAsia="fr-FR"/>
        </w:rPr>
      </w:r>
    </w:p>
    <w:p>
      <w:pPr>
        <w:pStyle w:val="801"/>
        <w:numPr>
          <w:ilvl w:val="0"/>
          <w:numId w:val="1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annual yield : kWh/(900 kWp * 1) = 188 294 927.2 / 900 = 209 216.6 kWh for a 0.9MWp unit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y * kWp/unit * kWh/(kWp*1y)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30 * 900 * annual yield </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27000 * annual yield </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27000 * 209 216.6</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5 648 848 200 kWh/unit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gives: </w:t>
      </w:r>
      <w:r>
        <w:rPr>
          <w:rFonts w:ascii="Times New Roman" w:hAnsi="Times New Roman" w:eastAsia="Times New Roman" w:cs="Times New Roman"/>
          <w:lang w:eastAsia="fr-FR"/>
        </w:rPr>
        <w:t xml:space="preserve">1.77e-10 unit/kWh</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jc w:val="left"/>
        <w:rPr>
          <w:rFonts w:ascii="Times New Roman" w:hAnsi="Times New Roman" w:eastAsia="Times New Roman" w:cs="Times New Roman"/>
          <w:b/>
          <w:lang w:eastAsia="fr-FR"/>
        </w:rPr>
      </w:pPr>
      <w:r>
        <w:rPr>
          <w:rFonts w:ascii="Times New Roman" w:hAnsi="Times New Roman" w:eastAsia="Times New Roman" w:cs="Times New Roman"/>
          <w:lang w:eastAsia="fr-FR"/>
        </w:rPr>
        <w:t xml:space="preserve">The "market for tap water" activity is scaled linearly as it should be proportional to the surface of panels, which scales linearly with installed power.</w:t>
      </w:r>
      <w:r>
        <w:rPr>
          <w:rFonts w:ascii="Times New Roman" w:hAnsi="Times New Roman" w:eastAsia="Times New Roman" w:cs="Times New Roman"/>
          <w:b/>
          <w:lang w:eastAsia="fr-FR"/>
        </w:rPr>
      </w:r>
    </w:p>
    <w:p>
      <w:pPr>
        <w:pBdr/>
        <w:spacing w:after="160" w:line="259" w:lineRule="auto"/>
        <w:ind/>
        <w:jc w:val="left"/>
        <w:rPr>
          <w:rFonts w:eastAsia="Times New Roman" w:cstheme="minorHAnsi"/>
          <w:b/>
          <w:sz w:val="24"/>
          <w:szCs w:val="24"/>
          <w:lang w:eastAsia="fr-FR"/>
        </w:rPr>
      </w:pPr>
      <w:r>
        <w:rPr>
          <w:rFonts w:eastAsia="Times New Roman" w:cstheme="minorHAnsi"/>
          <w:b/>
          <w:sz w:val="24"/>
          <w:szCs w:val="24"/>
          <w:lang w:eastAsia="fr-FR"/>
        </w:rPr>
        <w:t xml:space="preserve">P</w:t>
      </w:r>
      <w:r>
        <w:rPr>
          <w:rFonts w:eastAsia="Times New Roman" w:cstheme="minorHAnsi"/>
          <w:b/>
          <w:sz w:val="24"/>
          <w:szCs w:val="24"/>
          <w:lang w:eastAsia="fr-FR"/>
        </w:rPr>
        <w:t xml:space="preserve">hotovoltaic slanted-roof installation, 1.8MWp, multi-Si, panel, mounted, on roof</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is based on comparison of the ecoinvent 3.10 activities for 3kWp and 570kWp installations.</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"photovoltaic slanted-roof installation, 3kWp, multi-Si, panel, mounted, on roof (CH)"</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"photovoltaic plant construction, 570kWp, multi-Si, on open ground (GLO)"</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Lifetime : 30 years (no modification compared to the slanted roof installation activity)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Normalized flows per kW installed shows a linear progression for:</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market for photovoltaic mounting system (m</w:t>
      </w:r>
      <w:r>
        <w:rPr>
          <w:rFonts w:ascii="Times New Roman" w:hAnsi="Times New Roman" w:eastAsia="Times New Roman" w:cs="Times New Roman"/>
          <w:vertAlign w:val="super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Style w:val="801"/>
        <w:numPr>
          <w:ilvl w:val="0"/>
          <w:numId w:val="17"/>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market for photovoltaic panel, multi-Si wafer (m</w:t>
      </w:r>
      <w:r>
        <w:rPr>
          <w:rFonts w:ascii="Times New Roman" w:hAnsi="Times New Roman" w:eastAsia="Times New Roman" w:cs="Times New Roman"/>
          <w:vertAlign w:val="superscript"/>
          <w:lang w:eastAsia="fr-FR"/>
        </w:rPr>
        <w:t xml:space="preserve">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Indeed, t</w:t>
      </w:r>
      <w:r>
        <w:rPr>
          <w:rFonts w:ascii="Times New Roman" w:hAnsi="Times New Roman" w:eastAsia="Times New Roman" w:cs="Times New Roman"/>
          <w:lang w:eastAsia="fr-FR"/>
        </w:rPr>
        <w:t xml:space="preserve">heir normalized ratios = 0.987, equivalent to only 1.3% flow economy with installed capacity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"electricity, low voltage" flow shows a non linear progression: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Indeed, ratio between normalized activities is 0.825, equivalent to 17.5% flow economy with installed capacity.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this flow, we thus use a power progression following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Based on the 2 previously mentioned activities, we determine a factor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0.9632</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0.23 * (1800/3)</w:t>
      </w:r>
      <w:r>
        <w:rPr>
          <w:rFonts w:ascii="Times New Roman" w:hAnsi="Times New Roman" w:eastAsia="Times New Roman" w:cs="Times New Roman"/>
          <w:vertAlign w:val="superscript"/>
          <w:lang w:eastAsia="fr-FR"/>
        </w:rPr>
        <w:t xml:space="preserve">0.9632</w:t>
      </w:r>
      <w:r>
        <w:rPr>
          <w:rFonts w:ascii="Times New Roman" w:hAnsi="Times New Roman" w:eastAsia="Times New Roman" w:cs="Times New Roman"/>
          <w:lang w:eastAsia="fr-FR"/>
        </w:rPr>
        <w:t xml:space="preserve"> = 109.05</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36.033 * (1800/570)</w:t>
      </w:r>
      <w:r>
        <w:rPr>
          <w:rFonts w:ascii="Times New Roman" w:hAnsi="Times New Roman" w:eastAsia="Times New Roman" w:cs="Times New Roman"/>
          <w:vertAlign w:val="superscript"/>
          <w:lang w:eastAsia="fr-FR"/>
        </w:rPr>
        <w:t xml:space="preserve">0.9632</w:t>
      </w:r>
      <w:r>
        <w:rPr>
          <w:rFonts w:ascii="Times New Roman" w:hAnsi="Times New Roman" w:eastAsia="Times New Roman" w:cs="Times New Roman"/>
          <w:lang w:eastAsia="fr-FR"/>
        </w:rPr>
        <w:t xml:space="preserve"> = 109.07</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choose: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109.06 kWh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Furthermore, the "market for electricity, low voltage, CH" activity is replaced by the DE version.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Situation is similar (the other way arround) for inverter capacity installed:</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 * market for inverter, 2.5</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=&gt; 6</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3.126 * market for inverter,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=&gt; 1563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Indeed, ratio between normalized per kWp activities is 1.37, equivalent to 37% flow o</w:t>
      </w:r>
      <w:r>
        <w:rPr>
          <w:rFonts w:ascii="Times New Roman" w:hAnsi="Times New Roman" w:eastAsia="Times New Roman" w:cs="Times New Roman"/>
          <w:lang w:eastAsia="fr-FR"/>
        </w:rPr>
        <w:t xml:space="preserve">veruse with installed capacity. </w:t>
      </w:r>
      <w:r>
        <w:rPr>
          <w:rFonts w:ascii="Times New Roman" w:hAnsi="Times New Roman" w:eastAsia="Times New Roman" w:cs="Times New Roman"/>
          <w:lang w:eastAsia="fr-FR"/>
        </w:rPr>
        <w:t xml:space="preserve">The determined factor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1.0601</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left="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6 * (1800/3)</w:t>
      </w:r>
      <w:r>
        <w:rPr>
          <w:rFonts w:ascii="Times New Roman" w:hAnsi="Times New Roman" w:eastAsia="Times New Roman" w:cs="Times New Roman"/>
          <w:vertAlign w:val="superscript"/>
          <w:lang w:eastAsia="fr-FR"/>
        </w:rPr>
        <w:t xml:space="preserve">1.0601</w:t>
      </w:r>
      <w:r>
        <w:rPr>
          <w:rFonts w:ascii="Times New Roman" w:hAnsi="Times New Roman" w:eastAsia="Times New Roman" w:cs="Times New Roman"/>
          <w:lang w:eastAsia="fr-FR"/>
        </w:rPr>
        <w:t xml:space="preserve"> = 5287.73</w:t>
      </w:r>
      <w:r>
        <w:rPr>
          <w:rFonts w:ascii="Times New Roman" w:hAnsi="Times New Roman" w:eastAsia="Times New Roman" w:cs="Times New Roman"/>
          <w:lang w:eastAsia="fr-FR"/>
        </w:rPr>
      </w:r>
    </w:p>
    <w:p>
      <w:pPr>
        <w:pBdr/>
        <w:spacing w:after="0" w:line="240" w:lineRule="auto"/>
        <w:ind w:left="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1563 * (1800/570)</w:t>
      </w:r>
      <w:r>
        <w:rPr>
          <w:rFonts w:ascii="Times New Roman" w:hAnsi="Times New Roman" w:eastAsia="Times New Roman" w:cs="Times New Roman"/>
          <w:vertAlign w:val="superscript"/>
          <w:lang w:eastAsia="fr-FR"/>
        </w:rPr>
        <w:t xml:space="preserve">1.0601</w:t>
      </w:r>
      <w:r>
        <w:rPr>
          <w:rFonts w:ascii="Times New Roman" w:hAnsi="Times New Roman" w:eastAsia="Times New Roman" w:cs="Times New Roman"/>
          <w:lang w:eastAsia="fr-FR"/>
        </w:rPr>
        <w:t xml:space="preserve"> = 5288.96</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choose</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5288.35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translates into: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10.577 * market for inverter, 500kW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Regarding electric installation, where sub-processes are identical:</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Across positive values of sub-process flows: </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0.67 with 40.2% deviation</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Removing the polycarbonate extreme outlier:</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0.758 with 9.47% deviation</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Further removing the polyvinylchloride of b=0.58:</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0.78 with 3.77% deviation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removed outliers does not seem to have meaningful influence on impacts, as: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Log regression across impact categories gives b</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0.746 with 2.1% deviation</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 unit * (1800/3)</w:t>
      </w:r>
      <w:r>
        <w:rPr>
          <w:rFonts w:ascii="Times New Roman" w:hAnsi="Times New Roman" w:eastAsia="Times New Roman" w:cs="Times New Roman"/>
          <w:vertAlign w:val="superscript"/>
          <w:lang w:eastAsia="fr-FR"/>
        </w:rPr>
        <w:t xml:space="preserve">0.746</w:t>
      </w:r>
      <w:r>
        <w:rPr>
          <w:rFonts w:ascii="Times New Roman" w:hAnsi="Times New Roman" w:eastAsia="Times New Roman" w:cs="Times New Roman"/>
          <w:lang w:eastAsia="fr-FR"/>
        </w:rPr>
        <w:t xml:space="preserve"> = 118.17 units of 3</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electric installation</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 </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 1 unit * (1800/570)</w:t>
      </w:r>
      <w:r>
        <w:rPr>
          <w:rFonts w:ascii="Times New Roman" w:hAnsi="Times New Roman" w:eastAsia="Times New Roman" w:cs="Times New Roman"/>
          <w:vertAlign w:val="superscript"/>
          <w:lang w:eastAsia="fr-FR"/>
        </w:rPr>
        <w:t xml:space="preserve">0.746</w:t>
      </w:r>
      <w:r>
        <w:rPr>
          <w:rFonts w:ascii="Times New Roman" w:hAnsi="Times New Roman" w:eastAsia="Times New Roman" w:cs="Times New Roman"/>
          <w:lang w:eastAsia="fr-FR"/>
        </w:rPr>
        <w:t xml:space="preserve"> = 2.36 units of 570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kWp electric installation</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choice is of no consequence here, so we chose: </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118.17 units of 3kWp electric installation and keep the ecoinvent uncertainties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"market for diesel, burned in building machine" of the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plant is not conserved to keep our created activity closer to a slanted roof installation.</w:t>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 production, from 1.8MW PV</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ecoinvent computation:</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y * kWp/unit * kWh/(kWp*1y)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30 * 3 * annual yield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90 * annual yield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x kWh/unit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should give 1.4447e-05 unit/kWh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ecoinvent 3.10 annual yield = (1/1.4447e-05)/90 = 771.605 kWh for a 3 kWp unit</w:t>
      </w:r>
      <w:r>
        <w:rPr>
          <w:rFonts w:ascii="Times New Roman" w:hAnsi="Times New Roman" w:eastAsia="Times New Roman" w:cs="Times New Roman"/>
          <w:lang w:eastAsia="fr-FR"/>
        </w:rPr>
        <w:t xml:space="preserve"> (reference value).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 Electricity annual yields b</w:t>
      </w:r>
      <w:r>
        <w:rPr>
          <w:rFonts w:ascii="Times New Roman" w:hAnsi="Times New Roman" w:eastAsia="Times New Roman" w:cs="Times New Roman"/>
          <w:lang w:eastAsia="fr-FR"/>
        </w:rPr>
        <w:t xml:space="preserve">ased on </w:t>
      </w:r>
      <w:r>
        <w:rPr>
          <w:rFonts w:ascii="Times New Roman" w:hAnsi="Times New Roman" w:eastAsia="Times New Roman" w:cs="Times New Roman"/>
          <w:lang w:eastAsia="fr-FR"/>
        </w:rPr>
        <w:t xml:space="preserve">the </w:t>
      </w:r>
      <w:r>
        <w:rPr>
          <w:rFonts w:ascii="Times New Roman" w:hAnsi="Times New Roman" w:eastAsia="Times New Roman" w:cs="Times New Roman"/>
          <w:lang w:eastAsia="fr-FR"/>
        </w:rPr>
        <w:t xml:space="preserve">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https://github.com/IKKUeng</w:t>
      </w:r>
      <w:r>
        <w:rPr>
          <w:rFonts w:ascii="Times New Roman" w:hAnsi="Times New Roman" w:eastAsia="Times New Roman" w:cs="Times New Roman"/>
          <w:lang w:eastAsia="fr-FR"/>
        </w:rPr>
        <w:t xml:space="preserve">ine/CO2InnO-H2-CHP-Demonstrator)</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30 years (same as original ecoinvent 3.10 activity)</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annual yield : kWh/(1800 kWp * 1) = 376 589 854.5 / 1800 = 209 216.4 kWh for a 1.8MWp 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y * kWp/unit * kWh/(kWp*1y)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30 * 1800 * annual yield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54000 * annual yield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57000 * 209 216.4</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11 925 334 800 kWh/unit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gives: </w:t>
      </w:r>
      <w:r>
        <w:rPr>
          <w:rFonts w:ascii="Times New Roman" w:hAnsi="Times New Roman" w:eastAsia="Times New Roman" w:cs="Times New Roman"/>
          <w:lang w:eastAsia="fr-FR"/>
        </w:rPr>
        <w:t xml:space="preserve">8.386e-11 unit/kWh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"market for tap water" activity is scaled linearly as it should be proportional to the surface of panels, which scales linearly with installed power.</w:t>
      </w:r>
      <w:r>
        <w:rPr>
          <w:rFonts w:ascii="Times New Roman" w:hAnsi="Times New Roman" w:eastAsia="Times New Roman" w:cs="Times New Roman"/>
          <w:lang w:eastAsia="fr-FR"/>
        </w:rPr>
      </w:r>
    </w:p>
    <w:p>
      <w:pPr>
        <w:pBdr/>
        <w:spacing w:after="160" w:line="259" w:lineRule="auto"/>
        <w:ind/>
        <w:jc w:val="left"/>
        <w:rPr>
          <w:rFonts w:eastAsia="Times New Roman" w:cstheme="minorHAnsi"/>
          <w:b/>
          <w:sz w:val="22"/>
          <w:szCs w:val="22"/>
          <w:lang w:eastAsia="fr-FR"/>
        </w:rPr>
      </w:pPr>
      <w:r>
        <w:rPr>
          <w:rFonts w:eastAsia="Times New Roman" w:cstheme="minorHAnsi"/>
          <w:b/>
          <w:sz w:val="22"/>
          <w:szCs w:val="22"/>
          <w:lang w:eastAsia="fr-FR"/>
        </w:rPr>
        <w:br w:type="page" w:clear="all"/>
      </w:r>
      <w:r>
        <w:rPr>
          <w:rFonts w:eastAsia="Times New Roman" w:cstheme="minorHAnsi"/>
          <w:b/>
          <w:sz w:val="22"/>
          <w:szCs w:val="22"/>
          <w:lang w:eastAsia="fr-FR"/>
        </w:rPr>
      </w:r>
    </w:p>
    <w:p>
      <w:pPr>
        <w:pStyle w:val="791"/>
        <w:pBdr/>
        <w:spacing/>
        <w:ind/>
        <w:rPr>
          <w:rStyle w:val="800"/>
        </w:rPr>
      </w:pPr>
      <w:r/>
      <w:bookmarkStart w:id="3" w:name="_Toc201162117"/>
      <w:r>
        <w:rPr>
          <w:rStyle w:val="800"/>
        </w:rPr>
        <w:t xml:space="preserve">WT</w:t>
      </w:r>
      <w:r>
        <w:rPr>
          <w:rStyle w:val="800"/>
        </w:rPr>
        <w:t xml:space="preserve"> flows</w:t>
      </w:r>
      <w:bookmarkEnd w:id="3"/>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W</w:t>
      </w:r>
      <w:r>
        <w:rPr>
          <w:rFonts w:eastAsia="Times New Roman" w:cstheme="minorHAnsi"/>
          <w:b/>
          <w:sz w:val="24"/>
          <w:szCs w:val="24"/>
          <w:lang w:eastAsia="fr-FR"/>
        </w:rPr>
        <w:t xml:space="preserve">ind power plant construction, 0.5MW</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Scaling from original ecoinvent 3.10 activities: </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"wind power plant construction, 800kW, fixed parts"</w:t>
      </w:r>
      <w:r>
        <w:rPr>
          <w:rFonts w:ascii="Times New Roman" w:hAnsi="Times New Roman" w:eastAsia="Times New Roman" w:cs="Times New Roman"/>
          <w:lang w:eastAsia="fr-FR"/>
        </w:rPr>
      </w:r>
    </w:p>
    <w:p>
      <w:pPr>
        <w:pStyle w:val="801"/>
        <w:numPr>
          <w:ilvl w:val="0"/>
          <w:numId w:val="2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"wind power plant con</w:t>
      </w:r>
      <w:r>
        <w:rPr>
          <w:rFonts w:ascii="Times New Roman" w:hAnsi="Times New Roman" w:eastAsia="Times New Roman" w:cs="Times New Roman"/>
          <w:lang w:eastAsia="fr-FR"/>
        </w:rPr>
        <w:t xml:space="preserve">struction, 800kW, moving parts"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use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(DOI: 10.1016/j.apenergy.2016.12.098)</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determined a factor b = 0.83 through a phenomenological approach: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performed a comparative analysis of the evolution of impacts (for every EF impact category, IW footprint category, a</w:t>
      </w:r>
      <w:r>
        <w:rPr>
          <w:rFonts w:ascii="Times New Roman" w:hAnsi="Times New Roman" w:eastAsia="Times New Roman" w:cs="Times New Roman"/>
          <w:lang w:eastAsia="fr-FR"/>
        </w:rPr>
        <w:t xml:space="preserve">nd Crustal Scarcity indicator) a</w:t>
      </w:r>
      <w:r>
        <w:rPr>
          <w:rFonts w:ascii="Times New Roman" w:hAnsi="Times New Roman" w:eastAsia="Times New Roman" w:cs="Times New Roman"/>
          <w:lang w:eastAsia="fr-FR"/>
        </w:rPr>
        <w:t xml:space="preserve">nd LCIs</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these ecoinvent activities:</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wind power plant construction, 800kW (sum of fixed and moving parts), GLO</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wind turbine construction, 750kW, GLO</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wind turbine construction, small-scale, 6kW, DE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Least-square regression on log transformed data was used to determine the best b factor</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Analysis from the LCIs was usually missing datapoints because they were few exact ma</w:t>
      </w:r>
      <w:r>
        <w:rPr>
          <w:rFonts w:ascii="Times New Roman" w:hAnsi="Times New Roman" w:eastAsia="Times New Roman" w:cs="Times New Roman"/>
          <w:lang w:eastAsia="fr-FR"/>
        </w:rPr>
        <w:t xml:space="preserve">tching entries across datasets. </w:t>
      </w:r>
      <w:r>
        <w:rPr>
          <w:rFonts w:ascii="Times New Roman" w:hAnsi="Times New Roman" w:eastAsia="Times New Roman" w:cs="Times New Roman"/>
          <w:lang w:eastAsia="fr-FR"/>
        </w:rPr>
        <w:t xml:space="preserve">Fit was rather acceptable (R² between 0.7 and 0.9), with RMSE in log-space being 0.9753.</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 this case, b = 0.7387</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When implementing of a fuzzy matching of activities, we obtain</w:t>
      </w:r>
      <w:r>
        <w:rPr>
          <w:rFonts w:ascii="Times New Roman" w:hAnsi="Times New Roman" w:eastAsia="Times New Roman" w:cs="Times New Roman"/>
          <w:lang w:eastAsia="fr-FR"/>
        </w:rPr>
        <w:t xml:space="preserve">ed a rather poor fit (R² &lt;0.7).</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RMSE in log-space was 3.1169.</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 this case, b = 0.8652</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Analysis from the impacts had sufficient datapoints, wi</w:t>
      </w:r>
      <w:r>
        <w:rPr>
          <w:rFonts w:ascii="Times New Roman" w:hAnsi="Times New Roman" w:eastAsia="Times New Roman" w:cs="Times New Roman"/>
          <w:lang w:eastAsia="fr-FR"/>
        </w:rPr>
        <w:t xml:space="preserve">th an excellent fit (R² ≥ 0.9).</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RMSE in log-space was 0.4305.</w:t>
      </w:r>
      <w:r>
        <w:rPr>
          <w:rFonts w:ascii="Times New Roman" w:hAnsi="Times New Roman" w:eastAsia="Times New Roman" w:cs="Times New Roman"/>
          <w:lang w:eastAsia="fr-FR"/>
        </w:rPr>
      </w:r>
    </w:p>
    <w:p>
      <w:pPr>
        <w:pStyle w:val="801"/>
        <w:pBdr/>
        <w:spacing w:after="0" w:line="240" w:lineRule="auto"/>
        <w:ind w:firstLine="696"/>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In this last case, b = 0.8288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By selecting b = 0.83, we ensure the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dataset we create will yield impact results that will be consistent with the 800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ecoinvent dataset.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 unit (500 kW) </w:t>
      </w:r>
      <w:r>
        <w:rPr>
          <w:rFonts w:ascii="Times New Roman" w:hAnsi="Times New Roman" w:eastAsia="Times New Roman" w:cs="Times New Roman"/>
          <w:lang w:eastAsia="fr-FR"/>
        </w:rPr>
        <w:t xml:space="preserve">= (500/800)</w:t>
      </w:r>
      <w:r>
        <w:rPr>
          <w:rFonts w:ascii="Times New Roman" w:hAnsi="Times New Roman" w:eastAsia="Times New Roman" w:cs="Times New Roman"/>
          <w:vertAlign w:val="superscript"/>
          <w:lang w:eastAsia="fr-FR"/>
        </w:rPr>
        <w:t xml:space="preserve">0.83</w:t>
      </w:r>
      <w:r>
        <w:rPr>
          <w:rFonts w:ascii="Times New Roman" w:hAnsi="Times New Roman" w:eastAsia="Times New Roman" w:cs="Times New Roman"/>
          <w:lang w:eastAsia="fr-FR"/>
        </w:rPr>
        <w:t xml:space="preserve"> * 1 unit (800 kW)</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Hence:</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 unit (500 kW) = 0.677 unit (800 kW)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Triangular uncertainty was set using:</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 1 (linear scaling) </w:t>
      </w:r>
      <w:r>
        <w:rPr>
          <w:rFonts w:ascii="Times New Roman" w:hAnsi="Times New Roman" w:eastAsia="Times New Roman" w:cs="Times New Roman"/>
          <w:lang w:eastAsia="fr-FR"/>
        </w:rPr>
      </w:r>
    </w:p>
    <w:p>
      <w:pPr>
        <w:pBdr/>
        <w:spacing w:after="0" w:line="240" w:lineRule="auto"/>
        <w:ind w:firstLine="708" w:left="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0.625 min</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 0.74 (estimation from technosphere comparison for 6, 750, 800 kW datasets, in exact matching case)</w:t>
      </w:r>
      <w:r>
        <w:rPr>
          <w:rFonts w:ascii="Times New Roman" w:hAnsi="Times New Roman" w:eastAsia="Times New Roman" w:cs="Times New Roman"/>
          <w:lang w:eastAsia="fr-FR"/>
        </w:rPr>
      </w:r>
    </w:p>
    <w:p>
      <w:pPr>
        <w:pStyle w:val="801"/>
        <w:pBdr/>
        <w:spacing/>
        <w:ind w:left="1440"/>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0.71 max</w:t>
      </w:r>
      <w:r>
        <w:rPr>
          <w:rFonts w:ascii="Times New Roman" w:hAnsi="Times New Roman" w:eastAsia="Times New Roman" w:cs="Times New Roman"/>
          <w:lang w:eastAsia="fr-FR"/>
        </w:rPr>
      </w:r>
    </w:p>
    <w:p>
      <w:pPr>
        <w:pBdr/>
        <w:spacing w:after="160" w:line="259" w:lineRule="auto"/>
        <w:ind/>
        <w:jc w:val="left"/>
        <w:rPr>
          <w:rFonts w:eastAsia="Times New Roman" w:cstheme="minorHAnsi"/>
          <w:b/>
          <w:sz w:val="22"/>
          <w:szCs w:val="22"/>
          <w:lang w:eastAsia="fr-FR"/>
        </w:rPr>
      </w:pPr>
      <w:r>
        <w:rPr>
          <w:rFonts w:eastAsia="Times New Roman" w:cstheme="minorHAnsi"/>
          <w:b/>
          <w:sz w:val="22"/>
          <w:szCs w:val="22"/>
          <w:lang w:eastAsia="fr-FR"/>
        </w:rPr>
        <w:br w:type="page" w:clear="all"/>
      </w:r>
      <w:r>
        <w:rPr>
          <w:rFonts w:eastAsia="Times New Roman" w:cstheme="minorHAnsi"/>
          <w:b/>
          <w:sz w:val="22"/>
          <w:szCs w:val="22"/>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 production, from 0.5MW WT (high voltage)</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was created by adaptation of the "electricity production, wind, &lt;1MW turbine, onshore (DE)" in ecoinvent 3.10</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ecoinvent computation:</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w:t>
      </w:r>
      <w:r>
        <w:rPr>
          <w:rFonts w:ascii="Times New Roman" w:hAnsi="Times New Roman" w:eastAsia="Times New Roman" w:cs="Times New Roman"/>
          <w:lang w:eastAsia="fr-FR"/>
        </w:rPr>
        <w:t xml:space="preserve">time * capacity * annual yield = y * kWp/unit * kWh/(kWp*1y)</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20 * 800 * annual yield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16000 * annual yield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x kWh/unit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should give 3.9007e-08 unit/kWh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ecoinvent 3.10 annual yield = (1/3.9007e-08)/16000 = 1602.3 kWh for a 0.8 MWp unit</w:t>
      </w:r>
      <w:r>
        <w:rPr>
          <w:rFonts w:ascii="Times New Roman" w:hAnsi="Times New Roman" w:eastAsia="Times New Roman" w:cs="Times New Roman"/>
          <w:lang w:eastAsia="fr-FR"/>
        </w:rPr>
        <w:t xml:space="preserve"> (reference value).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One should note there is a discrepancy betwee</w:t>
      </w:r>
      <w:r>
        <w:rPr>
          <w:rFonts w:ascii="Times New Roman" w:hAnsi="Times New Roman" w:eastAsia="Times New Roman" w:cs="Times New Roman"/>
          <w:lang w:eastAsia="fr-FR"/>
        </w:rPr>
        <w:t xml:space="preserve">n this ecoinvent activity (20 years lifetime for both fixed and moving parts) and the presented lifetime of fixed parts in the dedicated dataset, which is supposed to be 40 years according to the ecoinvent documentation at time of work (beginning of 2025).</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 Electricity annual yields b</w:t>
      </w:r>
      <w:r>
        <w:rPr>
          <w:rFonts w:ascii="Times New Roman" w:hAnsi="Times New Roman" w:eastAsia="Times New Roman" w:cs="Times New Roman"/>
          <w:lang w:eastAsia="fr-FR"/>
        </w:rPr>
        <w:t xml:space="preserve">ased on </w:t>
      </w:r>
      <w:r>
        <w:rPr>
          <w:rFonts w:ascii="Times New Roman" w:hAnsi="Times New Roman" w:eastAsia="Times New Roman" w:cs="Times New Roman"/>
          <w:lang w:eastAsia="fr-FR"/>
        </w:rPr>
        <w:t xml:space="preserve">the </w:t>
      </w:r>
      <w:r>
        <w:rPr>
          <w:rFonts w:ascii="Times New Roman" w:hAnsi="Times New Roman" w:eastAsia="Times New Roman" w:cs="Times New Roman"/>
          <w:lang w:eastAsia="fr-FR"/>
        </w:rPr>
        <w:t xml:space="preserve">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https://github.com/IKKUeng</w:t>
      </w:r>
      <w:r>
        <w:rPr>
          <w:rFonts w:ascii="Times New Roman" w:hAnsi="Times New Roman" w:eastAsia="Times New Roman" w:cs="Times New Roman"/>
          <w:lang w:eastAsia="fr-FR"/>
        </w:rPr>
        <w:t xml:space="preserve">ine/CO2InnO-H2-CHP-Demonstrator):</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20 years (same as original ecoinvent 3.10 activity for moving parts)</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annual yield : kWh/(500 kWp * 1) = 413 605.0 / 500 = 827.21 kWh for a 0.5MWp 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capacity * annual yield</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y * kWp/unit * kWh/(kWp*1y) </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20 * 500 * annual yield </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10000 * annual yield </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10000 * 827.21</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8 272 100 kWh/unit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Then the recipro</w:t>
      </w:r>
      <w:r>
        <w:rPr>
          <w:rFonts w:ascii="Times New Roman" w:hAnsi="Times New Roman" w:eastAsia="Times New Roman" w:cs="Times New Roman"/>
          <w:lang w:val="fr-FR"/>
        </w:rPr>
        <w:t xml:space="preserve">cal</w:t>
      </w:r>
      <w:r>
        <w:rPr>
          <w:rFonts w:ascii="Times New Roman" w:hAnsi="Times New Roman" w:eastAsia="Times New Roman" w:cs="Times New Roman"/>
          <w:lang w:eastAsia="fr-FR"/>
        </w:rPr>
        <w:t xml:space="preserve"> gives: </w:t>
      </w:r>
      <w:r>
        <w:rPr>
          <w:rFonts w:ascii="Times New Roman" w:hAnsi="Times New Roman" w:eastAsia="Times New Roman" w:cs="Times New Roman"/>
          <w:lang w:eastAsia="fr-FR"/>
        </w:rPr>
        <w:t xml:space="preserve">1.2089e-7 unit/kWh</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activities associated to lubricating oil were left unchanged as they do not vary between the following ecoinvent datasets:</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production, wind, &lt;1MW turbine, onshore</w:t>
      </w:r>
      <w:r>
        <w:rPr>
          <w:rFonts w:ascii="Times New Roman" w:hAnsi="Times New Roman" w:eastAsia="Times New Roman" w:cs="Times New Roman"/>
          <w:lang w:eastAsia="fr-FR"/>
        </w:rPr>
      </w:r>
    </w:p>
    <w:p>
      <w:pPr>
        <w:pStyle w:val="801"/>
        <w:numPr>
          <w:ilvl w:val="0"/>
          <w:numId w:val="24"/>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production, wind, &gt;3MW turbine, onshore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This suggest the value does not vary much for installations between 800 kW and 4.5</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MW, thus for a 500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installation</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Transportation activity was therefore also left unchanged</w:t>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 production, from 0.5MW WT (low voltage)</w:t>
      </w:r>
      <w:r>
        <w:rPr>
          <w:rFonts w:eastAsia="Times New Roman" w:cstheme="minorHAnsi"/>
          <w:b/>
          <w:sz w:val="24"/>
          <w:szCs w:val="24"/>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Using the ecoinvent 3.10 database for electricity production coming from wind turbine onshore.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Conversion factor account</w:t>
      </w:r>
      <w:r>
        <w:rPr>
          <w:rFonts w:ascii="Times New Roman" w:hAnsi="Times New Roman" w:eastAsia="Times New Roman" w:cs="Times New Roman"/>
          <w:lang w:eastAsia="fr-FR"/>
        </w:rPr>
        <w:t xml:space="preserve">ing</w:t>
      </w:r>
      <w:r>
        <w:rPr>
          <w:rFonts w:ascii="Times New Roman" w:hAnsi="Times New Roman" w:eastAsia="Times New Roman" w:cs="Times New Roman"/>
          <w:lang w:eastAsia="fr-FR"/>
        </w:rPr>
        <w:t xml:space="preserve"> for the transfor</w:t>
      </w:r>
      <w:r>
        <w:rPr>
          <w:rFonts w:ascii="Times New Roman" w:hAnsi="Times New Roman" w:eastAsia="Times New Roman" w:cs="Times New Roman"/>
          <w:lang w:eastAsia="fr-FR"/>
        </w:rPr>
        <w:t xml:space="preserve">mation from high to low voltage</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1.03786932562588 (high) to 1 (low)</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c</w:t>
      </w:r>
      <w:r>
        <w:rPr>
          <w:rFonts w:ascii="Times New Roman" w:hAnsi="Times New Roman" w:eastAsia="Times New Roman" w:cs="Times New Roman"/>
          <w:lang w:eastAsia="fr-FR"/>
        </w:rPr>
        <w:t xml:space="preserve">orresponds to the product of the losses from high to medium then medium to low transformation, based on the ecoinvent activities: </w:t>
      </w:r>
      <w:r>
        <w:rPr>
          <w:rFonts w:ascii="Times New Roman" w:hAnsi="Times New Roman" w:eastAsia="Times New Roman" w:cs="Times New Roman"/>
          <w:lang w:eastAsia="fr-FR"/>
        </w:rPr>
      </w:r>
    </w:p>
    <w:p>
      <w:pPr>
        <w:pStyle w:val="801"/>
        <w:numPr>
          <w:ilvl w:val="0"/>
          <w:numId w:val="24"/>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voltage transformation, residual mix, from high to medium voltage </w:t>
      </w:r>
      <w:r>
        <w:rPr>
          <w:rFonts w:ascii="Times New Roman" w:hAnsi="Times New Roman" w:eastAsia="Times New Roman" w:cs="Times New Roman"/>
          <w:lang w:eastAsia="fr-FR"/>
        </w:rPr>
      </w:r>
    </w:p>
    <w:p>
      <w:pPr>
        <w:pStyle w:val="801"/>
        <w:numPr>
          <w:ilvl w:val="0"/>
          <w:numId w:val="24"/>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voltage transformation, residual mix, from medium to low voltage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 uncertainty defined.</w:t>
      </w:r>
      <w:r>
        <w:rPr>
          <w:rFonts w:ascii="Times New Roman" w:hAnsi="Times New Roman" w:eastAsia="Times New Roman" w:cs="Times New Roman"/>
          <w:lang w:eastAsia="fr-FR"/>
        </w:rPr>
      </w:r>
    </w:p>
    <w:p>
      <w:pPr>
        <w:pBdr/>
        <w:spacing w:after="160" w:line="259" w:lineRule="auto"/>
        <w:ind/>
        <w:jc w:val="left"/>
        <w:rPr>
          <w:rFonts w:eastAsia="Times New Roman" w:cstheme="minorHAnsi"/>
          <w:sz w:val="22"/>
          <w:szCs w:val="22"/>
          <w:lang w:eastAsia="fr-FR"/>
        </w:rPr>
      </w:pPr>
      <w:r>
        <w:rPr>
          <w:rFonts w:eastAsia="Times New Roman" w:cstheme="minorHAnsi"/>
          <w:sz w:val="22"/>
          <w:szCs w:val="22"/>
          <w:lang w:eastAsia="fr-FR"/>
        </w:rPr>
        <w:br w:type="page" w:clear="all"/>
      </w:r>
      <w:r>
        <w:rPr>
          <w:rFonts w:eastAsia="Times New Roman" w:cstheme="minorHAnsi"/>
          <w:sz w:val="22"/>
          <w:szCs w:val="22"/>
          <w:lang w:eastAsia="fr-FR"/>
        </w:rPr>
      </w:r>
    </w:p>
    <w:p>
      <w:pPr>
        <w:pStyle w:val="791"/>
        <w:pBdr/>
        <w:spacing/>
        <w:ind/>
        <w:rPr>
          <w:rStyle w:val="800"/>
        </w:rPr>
      </w:pPr>
      <w:r/>
      <w:bookmarkStart w:id="4" w:name="_Toc201162118"/>
      <w:r>
        <w:rPr>
          <w:rStyle w:val="800"/>
        </w:rPr>
        <w:t xml:space="preserve">BAT</w:t>
      </w:r>
      <w:r>
        <w:rPr>
          <w:rStyle w:val="800"/>
        </w:rPr>
        <w:t xml:space="preserve"> flows</w:t>
      </w:r>
      <w:bookmarkEnd w:id="4"/>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M</w:t>
      </w:r>
      <w:r>
        <w:rPr>
          <w:rFonts w:eastAsia="Times New Roman" w:cstheme="minorHAnsi"/>
          <w:b/>
          <w:sz w:val="24"/>
          <w:szCs w:val="24"/>
          <w:lang w:eastAsia="fr-FR"/>
        </w:rPr>
        <w:t xml:space="preserve">arket for battery, Li-ion, NMC811, rechargeable, prismatic</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is based on the "market for battery, Li-ion, NMC811, rechargeable, prismatic" ecoinvent activity</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As mentioned in the ecoinvent documentation: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Specific energy density is 0.149 kWh/kg of battery at the pack level, based on Dai et al. (2017, 2018, 2019) for battery electric vehicle. </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 </w:t>
      </w:r>
      <w:r>
        <w:rPr>
          <w:rFonts w:ascii="Times New Roman" w:hAnsi="Times New Roman" w:eastAsia="Times New Roman" w:cs="Times New Roman"/>
          <w:lang w:eastAsia="fr-FR"/>
        </w:rPr>
        <w:t xml:space="preserve">Storage capacity required </w:t>
      </w:r>
      <w:r>
        <w:rPr>
          <w:rFonts w:ascii="Times New Roman" w:hAnsi="Times New Roman" w:eastAsia="Times New Roman" w:cs="Times New Roman"/>
          <w:lang w:eastAsia="fr-FR"/>
        </w:rPr>
        <w:t xml:space="preserve">b</w:t>
      </w:r>
      <w:r>
        <w:rPr>
          <w:rFonts w:ascii="Times New Roman" w:hAnsi="Times New Roman" w:eastAsia="Times New Roman" w:cs="Times New Roman"/>
          <w:lang w:eastAsia="fr-FR"/>
        </w:rPr>
        <w:t xml:space="preserve">ased on </w:t>
      </w:r>
      <w:r>
        <w:rPr>
          <w:rFonts w:ascii="Times New Roman" w:hAnsi="Times New Roman" w:eastAsia="Times New Roman" w:cs="Times New Roman"/>
          <w:lang w:eastAsia="fr-FR"/>
        </w:rPr>
        <w:t xml:space="preserve">the </w:t>
      </w:r>
      <w:r>
        <w:rPr>
          <w:rFonts w:ascii="Times New Roman" w:hAnsi="Times New Roman" w:eastAsia="Times New Roman" w:cs="Times New Roman"/>
          <w:lang w:eastAsia="fr-FR"/>
        </w:rPr>
        <w:t xml:space="preserve">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https://github.com/IKKUeng</w:t>
      </w:r>
      <w:r>
        <w:rPr>
          <w:rFonts w:ascii="Times New Roman" w:hAnsi="Times New Roman" w:eastAsia="Times New Roman" w:cs="Times New Roman"/>
          <w:lang w:eastAsia="fr-FR"/>
        </w:rPr>
        <w:t xml:space="preserve">ine/CO2InnO-H2-CHP-Demonstrator):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Coefficient applied is then:</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500/0.149</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 3355.7</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M</w:t>
      </w:r>
      <w:r>
        <w:rPr>
          <w:rFonts w:eastAsia="Times New Roman" w:cstheme="minorHAnsi"/>
          <w:b/>
          <w:sz w:val="24"/>
          <w:szCs w:val="24"/>
          <w:lang w:eastAsia="fr-FR"/>
        </w:rPr>
        <w:t xml:space="preserve">arket for used Li-ion battery</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activity is based on the "market for used Li-ion battery" ecoinvent activity</w:t>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rest of description is identical to the previous section.</w:t>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lectricity, from 500kWh BAT</w:t>
      </w:r>
      <w:r>
        <w:rPr>
          <w:rFonts w:eastAsia="Times New Roman" w:cstheme="minorHAnsi"/>
          <w:b/>
          <w:sz w:val="24"/>
          <w:szCs w:val="24"/>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w:t>
      </w:r>
      <w:r>
        <w:rPr>
          <w:rFonts w:ascii="Times New Roman" w:hAnsi="Times New Roman" w:eastAsia="Times New Roman" w:cs="Times New Roman"/>
          <w:lang w:eastAsia="fr-FR"/>
        </w:rPr>
        <w:t xml:space="preserve">ased on OpenModelica simulation of Beerlage et al., 2024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https://github.com/IKKUengine/CO2InnO-H2-CHP-Demonstrator)</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Style w:val="801"/>
        <w:numPr>
          <w:ilvl w:val="0"/>
          <w:numId w:val="2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 : 2600 +- 1000 full cycles / unit</w:t>
      </w:r>
      <w:r>
        <w:rPr>
          <w:rFonts w:ascii="Times New Roman" w:hAnsi="Times New Roman" w:eastAsia="Times New Roman" w:cs="Times New Roman"/>
          <w:lang w:eastAsia="fr-FR"/>
        </w:rPr>
      </w:r>
    </w:p>
    <w:p>
      <w:pPr>
        <w:pStyle w:val="801"/>
        <w:numPr>
          <w:ilvl w:val="0"/>
          <w:numId w:val="2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SOC variation across scenarios : 49.7 ± 0.3 % of installed capacity</w:t>
      </w:r>
      <w:r>
        <w:rPr>
          <w:rFonts w:ascii="Times New Roman" w:hAnsi="Times New Roman" w:eastAsia="Times New Roman" w:cs="Times New Roman"/>
          <w:lang w:eastAsia="fr-FR"/>
        </w:rPr>
      </w:r>
    </w:p>
    <w:p>
      <w:pPr>
        <w:pStyle w:val="801"/>
        <w:numPr>
          <w:ilvl w:val="0"/>
          <w:numId w:val="2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C-rate variation across scenarios : &lt; 0.4</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medium to low stress on the NMC811 battery</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number of full cycles is usually defined based on a relative capacity degradation (RCD) of 20% compared to beginnin</w:t>
      </w:r>
      <w:r>
        <w:rPr>
          <w:rFonts w:ascii="Times New Roman" w:hAnsi="Times New Roman" w:eastAsia="Times New Roman" w:cs="Times New Roman"/>
          <w:lang w:eastAsia="fr-FR"/>
        </w:rPr>
        <w:t xml:space="preserve">g of life (BoL) capacity value. Capacity of installed battery</w:t>
      </w:r>
      <w:r>
        <w:rPr>
          <w:rFonts w:ascii="Times New Roman" w:hAnsi="Times New Roman" w:eastAsia="Times New Roman" w:cs="Times New Roman"/>
          <w:lang w:eastAsia="fr-FR"/>
        </w:rPr>
        <w:t xml:space="preserve">: 500 kWh</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 full cycle is when:</w:t>
      </w:r>
      <w:r>
        <w:rPr>
          <w:rFonts w:ascii="Times New Roman" w:hAnsi="Times New Roman" w:eastAsia="Times New Roman" w:cs="Times New Roman"/>
          <w:lang w:eastAsia="fr-FR"/>
        </w:rPr>
      </w:r>
    </w:p>
    <w:p>
      <w:pPr>
        <w:pStyle w:val="801"/>
        <w:numPr>
          <w:ilvl w:val="0"/>
          <w:numId w:val="2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SOC varies from 0.10 to 0.90, then goes back to 0.10</w:t>
      </w:r>
      <w:r>
        <w:rPr>
          <w:rFonts w:ascii="Times New Roman" w:hAnsi="Times New Roman" w:eastAsia="Times New Roman" w:cs="Times New Roman"/>
          <w:lang w:eastAsia="fr-FR"/>
        </w:rPr>
      </w:r>
    </w:p>
    <w:p>
      <w:pPr>
        <w:pStyle w:val="801"/>
        <w:numPr>
          <w:ilvl w:val="0"/>
          <w:numId w:val="27"/>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DoD varies between 0.90 and 0.10, then goes back to 0.90</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So 80% of the installed capacity in kWh is used to compute the actual throughput.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Over the lifetime, that corresponds to: </w:t>
      </w:r>
      <w:r>
        <w:rPr>
          <w:rFonts w:ascii="Times New Roman" w:hAnsi="Times New Roman" w:eastAsia="Times New Roman" w:cs="Times New Roman"/>
          <w:lang w:eastAsia="fr-FR"/>
        </w:rPr>
      </w:r>
    </w:p>
    <w:p>
      <w:pPr>
        <w:pStyle w:val="801"/>
        <w:numPr>
          <w:ilvl w:val="0"/>
          <w:numId w:val="2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2500 * 0.8 * 500 = 1 000 000 kWh/unit</w:t>
      </w:r>
      <w:r>
        <w:rPr>
          <w:rFonts w:ascii="Times New Roman" w:hAnsi="Times New Roman" w:eastAsia="Times New Roman" w:cs="Times New Roman"/>
          <w:lang w:eastAsia="fr-FR"/>
        </w:rPr>
      </w:r>
    </w:p>
    <w:p>
      <w:pPr>
        <w:pStyle w:val="801"/>
        <w:numPr>
          <w:ilvl w:val="0"/>
          <w:numId w:val="2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2600 * 0.8 * 500 = 1 040 000 kWh/unit</w:t>
      </w:r>
      <w:r>
        <w:rPr>
          <w:rFonts w:ascii="Times New Roman" w:hAnsi="Times New Roman" w:eastAsia="Times New Roman" w:cs="Times New Roman"/>
          <w:lang w:eastAsia="fr-FR"/>
        </w:rPr>
      </w:r>
    </w:p>
    <w:p>
      <w:pPr>
        <w:pStyle w:val="801"/>
        <w:numPr>
          <w:ilvl w:val="0"/>
          <w:numId w:val="29"/>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2700 * 0.8 * 500 = 1 080 000 kWh/unit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Then the reciproc</w:t>
      </w:r>
      <w:r>
        <w:rPr>
          <w:rFonts w:ascii="Times New Roman" w:hAnsi="Times New Roman" w:eastAsia="Times New Roman" w:cs="Times New Roman"/>
          <w:lang w:val="fr-FR"/>
        </w:rPr>
        <w:t xml:space="preserve">al</w:t>
      </w:r>
      <w:r>
        <w:rPr>
          <w:rFonts w:ascii="Times New Roman" w:hAnsi="Times New Roman" w:eastAsia="Times New Roman" w:cs="Times New Roman"/>
          <w:lang w:eastAsia="fr-FR"/>
        </w:rPr>
        <w:t xml:space="preserve"> gives:</w:t>
      </w:r>
      <w:r>
        <w:rPr>
          <w:rFonts w:ascii="Times New Roman" w:hAnsi="Times New Roman" w:eastAsia="Times New Roman" w:cs="Times New Roman"/>
          <w:lang w:eastAsia="fr-FR"/>
        </w:rPr>
      </w:r>
    </w:p>
    <w:p>
      <w:pPr>
        <w:pStyle w:val="801"/>
        <w:numPr>
          <w:ilvl w:val="0"/>
          <w:numId w:val="30"/>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1.0e-06 unit/kWh</w:t>
      </w:r>
      <w:r>
        <w:rPr>
          <w:rFonts w:ascii="Times New Roman" w:hAnsi="Times New Roman" w:eastAsia="Times New Roman" w:cs="Times New Roman"/>
          <w:lang w:eastAsia="fr-FR"/>
        </w:rPr>
      </w:r>
    </w:p>
    <w:p>
      <w:pPr>
        <w:pStyle w:val="801"/>
        <w:numPr>
          <w:ilvl w:val="0"/>
          <w:numId w:val="30"/>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9.615e-07 unit/kWh</w:t>
      </w:r>
      <w:r>
        <w:rPr>
          <w:rFonts w:ascii="Times New Roman" w:hAnsi="Times New Roman" w:eastAsia="Times New Roman" w:cs="Times New Roman"/>
          <w:lang w:eastAsia="fr-FR"/>
        </w:rPr>
      </w:r>
    </w:p>
    <w:p>
      <w:pPr>
        <w:pStyle w:val="801"/>
        <w:numPr>
          <w:ilvl w:val="0"/>
          <w:numId w:val="30"/>
        </w:num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9.259e-07 unit/kWh</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min and max values are used to set triangular uncertainty.</w:t>
      </w:r>
      <w:r>
        <w:rPr>
          <w:rFonts w:ascii="Times New Roman" w:hAnsi="Times New Roman" w:eastAsia="Times New Roman" w:cs="Times New Roman"/>
          <w:lang w:eastAsia="fr-FR"/>
        </w:rPr>
      </w:r>
    </w:p>
    <w:p>
      <w:pPr>
        <w:pBdr/>
        <w:spacing w:after="160" w:line="259" w:lineRule="auto"/>
        <w:ind/>
        <w:jc w:val="left"/>
        <w:rPr>
          <w:rStyle w:val="800"/>
          <w:sz w:val="36"/>
          <w:szCs w:val="36"/>
        </w:rPr>
      </w:pPr>
      <w:r>
        <w:rPr>
          <w:rStyle w:val="800"/>
          <w:sz w:val="36"/>
          <w:szCs w:val="36"/>
        </w:rPr>
        <w:br w:type="page" w:clear="all"/>
      </w:r>
      <w:r>
        <w:rPr>
          <w:rStyle w:val="800"/>
          <w:sz w:val="36"/>
          <w:szCs w:val="36"/>
        </w:rPr>
      </w:r>
    </w:p>
    <w:p>
      <w:pPr>
        <w:pStyle w:val="791"/>
        <w:pBdr/>
        <w:spacing/>
        <w:ind/>
        <w:rPr>
          <w:rStyle w:val="800"/>
        </w:rPr>
      </w:pPr>
      <w:r/>
      <w:bookmarkStart w:id="5" w:name="_Toc201162119"/>
      <w:r>
        <w:rPr>
          <w:rStyle w:val="800"/>
        </w:rPr>
        <w:t xml:space="preserve">GSHP</w:t>
      </w:r>
      <w:r>
        <w:rPr>
          <w:rStyle w:val="800"/>
        </w:rPr>
        <w:t xml:space="preserve"> flows</w:t>
      </w:r>
      <w:bookmarkEnd w:id="5"/>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H</w:t>
      </w:r>
      <w:r>
        <w:rPr>
          <w:rFonts w:eastAsia="Times New Roman" w:cstheme="minorHAnsi"/>
          <w:b/>
          <w:sz w:val="24"/>
          <w:szCs w:val="24"/>
          <w:lang w:eastAsia="fr-FR"/>
        </w:rPr>
        <w:t xml:space="preserve">eatpump production, 197kW GSHP</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Values based on the "heat pump production, brine-water, 10kW (CH)" ecoinvent activity</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Original </w:t>
      </w:r>
      <w:r>
        <w:rPr>
          <w:rFonts w:ascii="Times New Roman" w:hAnsi="Times New Roman" w:eastAsia="Times New Roman" w:cs="Times New Roman"/>
          <w:lang w:eastAsia="fr-FR"/>
        </w:rPr>
        <w:t xml:space="preserve">flows correspond to a 10kW GSHP. </w:t>
      </w:r>
      <w:r>
        <w:rPr>
          <w:rFonts w:ascii="Times New Roman" w:hAnsi="Times New Roman" w:eastAsia="Times New Roman" w:cs="Times New Roman"/>
          <w:lang w:eastAsia="fr-FR"/>
        </w:rPr>
        <w:t xml:space="preserve">Flows are linearly sc</w:t>
      </w:r>
      <w:r>
        <w:rPr>
          <w:rFonts w:ascii="Times New Roman" w:hAnsi="Times New Roman" w:eastAsia="Times New Roman" w:cs="Times New Roman"/>
          <w:lang w:eastAsia="fr-FR"/>
        </w:rPr>
        <w:t xml:space="preserve">aled to correspond 197 kW GSPH</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Scaling coefficient used:</w:t>
      </w:r>
      <w:r>
        <w:rPr>
          <w:rFonts w:ascii="Times New Roman" w:hAnsi="Times New Roman" w:eastAsia="Times New Roman" w:cs="Times New Roman"/>
          <w:lang w:eastAsia="fr-FR"/>
        </w:rPr>
      </w:r>
    </w:p>
    <w:p>
      <w:pPr>
        <w:pBdr/>
        <w:spacing w:after="0" w:line="240" w:lineRule="auto"/>
        <w:ind w:firstLine="708"/>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197/10 = 19.7</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Electricity, gas consumption, and plastic waste were set to the DE ecoinvent activity to tailor the model to a German production.</w:t>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B</w:t>
      </w:r>
      <w:r>
        <w:rPr>
          <w:rFonts w:eastAsia="Times New Roman" w:cstheme="minorHAnsi"/>
          <w:b/>
          <w:sz w:val="24"/>
          <w:szCs w:val="24"/>
          <w:lang w:eastAsia="fr-FR"/>
        </w:rPr>
        <w:t xml:space="preserve">orehole heat exchangers production, 150m, for 197kW GSHP</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Values based on the "borehole heat exchanger production, 150m (CH)" ecoinvent activity</w:t>
      </w:r>
      <w:r>
        <w:rPr>
          <w:rFonts w:ascii="Times New Roman" w:hAnsi="Times New Roman" w:eastAsia="Times New Roman" w:cs="Times New Roman"/>
          <w:lang w:eastAsia="fr-FR"/>
        </w:rPr>
        <w:t xml:space="preserve">. The rest of the description is identical to the previous section.</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H</w:t>
      </w:r>
      <w:r>
        <w:rPr>
          <w:rFonts w:eastAsia="Times New Roman" w:cstheme="minorHAnsi"/>
          <w:b/>
          <w:sz w:val="24"/>
          <w:szCs w:val="24"/>
          <w:lang w:eastAsia="fr-FR"/>
        </w:rPr>
        <w:t xml:space="preserve">eat production, from 197kW GSHP</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Values based on the "heat production, borehole heat exchanger, brine-water heat pump 10kW (CH)" ecoinvent activity</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Lifetimes of infrastructures was kept identical.</w:t>
      </w:r>
      <w:r>
        <w:rPr>
          <w:rFonts w:ascii="Times New Roman" w:hAnsi="Times New Roman" w:eastAsia="Times New Roman" w:cs="Times New Roman"/>
          <w:lang w:eastAsia="fr-FR"/>
        </w:rPr>
      </w:r>
    </w:p>
    <w:p>
      <w:pPr>
        <w:pStyle w:val="801"/>
        <w:numPr>
          <w:ilvl w:val="0"/>
          <w:numId w:val="3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50 years for borehole heat exchanger and 20 years for heatpump.</w:t>
      </w:r>
      <w:r>
        <w:rPr>
          <w:rFonts w:ascii="Times New Roman" w:hAnsi="Times New Roman" w:eastAsia="Times New Roman" w:cs="Times New Roman"/>
          <w:lang w:eastAsia="fr-FR"/>
        </w:rPr>
      </w:r>
    </w:p>
    <w:p>
      <w:pPr>
        <w:pStyle w:val="801"/>
        <w:numPr>
          <w:ilvl w:val="0"/>
          <w:numId w:val="31"/>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Typical operation mode is 2000 operating hours.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Thus the corresponding normalized flows for a 197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kW heatpump</w:t>
      </w:r>
      <w:r>
        <w:rPr>
          <w:rFonts w:ascii="Times New Roman" w:hAnsi="Times New Roman" w:eastAsia="Times New Roman" w:cs="Times New Roman"/>
          <w:lang w:eastAsia="fr-FR"/>
        </w:rPr>
        <w:t xml:space="preserve"> (electricity excepted)</w:t>
      </w:r>
      <w:r>
        <w:rPr>
          <w:rFonts w:ascii="Times New Roman" w:hAnsi="Times New Roman" w:eastAsia="Times New Roman" w:cs="Times New Roman"/>
          <w:lang w:eastAsia="fr-FR"/>
        </w:rPr>
        <w:t xml:space="preserve">, postulating the refrigerant is only dependant on the produced heat:</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1 MJ (electricity excepted):</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6776" w:type="dxa"/>
        <w:tblBorders/>
        <w:tblLook w:val="04A0" w:firstRow="1" w:lastRow="0" w:firstColumn="1" w:lastColumn="0" w:noHBand="0" w:noVBand="1"/>
      </w:tblPr>
      <w:tblGrid>
        <w:gridCol w:w="1450"/>
        <w:gridCol w:w="1022"/>
        <w:gridCol w:w="1039"/>
        <w:gridCol w:w="3265"/>
      </w:tblGrid>
      <w:tr>
        <w:trPr/>
        <w:tc>
          <w:tcPr>
            <w:tcBorders/>
            <w:tcW w:w="1450" w:type="dxa"/>
            <w:vAlign w:val="center"/>
            <w:vMerge w:val="restart"/>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lang w:eastAsia="fr-FR"/>
              </w:rPr>
              <w:t xml:space="preserve">technosphere</w:t>
            </w:r>
            <w:r>
              <w:rPr>
                <w:rFonts w:ascii="Times New Roman" w:hAnsi="Times New Roman" w:eastAsia="Times New Roman" w:cs="Times New Roman"/>
                <w:b w:val="0"/>
                <w:lang w:eastAsia="fr-FR"/>
              </w:rPr>
            </w:r>
          </w:p>
        </w:tc>
        <w:tc>
          <w:tcPr>
            <w:tcBorders/>
            <w:tcW w:w="1022"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1.48e-08</w:t>
            </w:r>
            <w:r>
              <w:rPr>
                <w:rFonts w:ascii="Times New Roman" w:hAnsi="Times New Roman" w:eastAsia="Times New Roman" w:cs="Times New Roman"/>
                <w:b w:val="0"/>
                <w:lang w:eastAsia="fr-FR"/>
              </w:rPr>
            </w:r>
          </w:p>
        </w:tc>
        <w:tc>
          <w:tcPr>
            <w:tcBorders/>
            <w:tcW w:w="1039"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unit</w:t>
            </w:r>
            <w:r>
              <w:rPr>
                <w:rFonts w:ascii="Times New Roman" w:hAnsi="Times New Roman" w:eastAsia="Times New Roman" w:cs="Times New Roman"/>
                <w:b w:val="0"/>
                <w:lang w:eastAsia="fr-FR"/>
              </w:rPr>
            </w:r>
          </w:p>
        </w:tc>
        <w:tc>
          <w:tcPr>
            <w:tcBorders/>
            <w:tcW w:w="3265"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borehole heat exchangers production</w:t>
            </w:r>
            <w:r>
              <w:rPr>
                <w:rFonts w:ascii="Times New Roman" w:hAnsi="Times New Roman" w:eastAsia="Times New Roman" w:cs="Times New Roman"/>
                <w:b w:val="0"/>
                <w:lang w:eastAsia="fr-FR"/>
              </w:rPr>
            </w:r>
          </w:p>
        </w:tc>
      </w:tr>
      <w:tr>
        <w:trPr/>
        <w:tc>
          <w:tcPr>
            <w:tcBorders/>
            <w:tcW w:w="1450" w:type="dxa"/>
            <w:vAlign w:val="center"/>
            <w:vMerge w:val="continue"/>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022"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3.53e-08</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w:t>
            </w:r>
            <w:r>
              <w:rPr>
                <w:rFonts w:ascii="Times New Roman" w:hAnsi="Times New Roman" w:eastAsia="Times New Roman" w:cs="Times New Roman"/>
                <w:lang w:eastAsia="fr-FR"/>
              </w:rPr>
            </w:r>
          </w:p>
        </w:tc>
        <w:tc>
          <w:tcPr>
            <w:tcBorders/>
            <w:tcW w:w="3265"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heatpump production</w:t>
            </w:r>
            <w:r>
              <w:rPr>
                <w:rFonts w:ascii="Times New Roman" w:hAnsi="Times New Roman" w:eastAsia="Times New Roman" w:cs="Times New Roman"/>
                <w:lang w:eastAsia="fr-FR"/>
              </w:rPr>
            </w:r>
          </w:p>
        </w:tc>
      </w:tr>
      <w:tr>
        <w:trPr/>
        <w:tc>
          <w:tcPr>
            <w:tcBorders/>
            <w:tcW w:w="1450" w:type="dxa"/>
            <w:vAlign w:val="center"/>
            <w:vMerge w:val="continue"/>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022"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2.5e-06</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kilogram</w:t>
            </w:r>
            <w:r>
              <w:rPr>
                <w:rFonts w:ascii="Times New Roman" w:hAnsi="Times New Roman" w:eastAsia="Times New Roman" w:cs="Times New Roman"/>
                <w:lang w:eastAsia="fr-FR"/>
              </w:rPr>
            </w:r>
          </w:p>
        </w:tc>
        <w:tc>
          <w:tcPr>
            <w:tcBorders/>
            <w:tcW w:w="3265"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market for refrigerant R134a</w:t>
            </w:r>
            <w:r>
              <w:rPr>
                <w:rFonts w:ascii="Times New Roman" w:hAnsi="Times New Roman" w:eastAsia="Times New Roman" w:cs="Times New Roman"/>
                <w:lang w:eastAsia="fr-FR"/>
              </w:rPr>
            </w:r>
          </w:p>
        </w:tc>
      </w:tr>
    </w:tbl>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0" w:type="auto"/>
        <w:tblBorders/>
        <w:tblLook w:val="04A0" w:firstRow="1" w:lastRow="0" w:firstColumn="1" w:lastColumn="0" w:noHBand="0" w:noVBand="1"/>
      </w:tblPr>
      <w:tblGrid>
        <w:gridCol w:w="1150"/>
        <w:gridCol w:w="922"/>
        <w:gridCol w:w="1150"/>
        <w:gridCol w:w="2782"/>
        <w:gridCol w:w="2693"/>
      </w:tblGrid>
      <w:tr>
        <w:trPr/>
        <w:tc>
          <w:tcPr>
            <w:tcBorders/>
            <w:tcW w:w="1150" w:type="dxa"/>
            <w:vAlign w:val="center"/>
            <w:vMerge w:val="restart"/>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lang w:eastAsia="fr-FR"/>
              </w:rPr>
              <w:t xml:space="preserve">biosphere</w:t>
            </w:r>
            <w:r>
              <w:rPr>
                <w:rFonts w:ascii="Times New Roman" w:hAnsi="Times New Roman" w:eastAsia="Times New Roman" w:cs="Times New Roman"/>
                <w:b w:val="0"/>
                <w:lang w:eastAsia="fr-FR"/>
              </w:rPr>
            </w:r>
          </w:p>
        </w:tc>
        <w:tc>
          <w:tcPr>
            <w:tcBorders/>
            <w:tcW w:w="922"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2.5e-06</w:t>
            </w:r>
            <w:r>
              <w:rPr>
                <w:rFonts w:ascii="Times New Roman" w:hAnsi="Times New Roman" w:eastAsia="Times New Roman" w:cs="Times New Roman"/>
                <w:b w:val="0"/>
                <w:lang w:eastAsia="fr-FR"/>
              </w:rPr>
            </w:r>
          </w:p>
        </w:tc>
        <w:tc>
          <w:tcPr>
            <w:tcBorders/>
            <w:tcW w:w="1150"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kilogram</w:t>
            </w:r>
            <w:r>
              <w:rPr>
                <w:rFonts w:ascii="Times New Roman" w:hAnsi="Times New Roman" w:eastAsia="Times New Roman" w:cs="Times New Roman"/>
                <w:b w:val="0"/>
                <w:lang w:eastAsia="fr-FR"/>
              </w:rPr>
            </w:r>
          </w:p>
        </w:tc>
        <w:tc>
          <w:tcPr>
            <w:tcBorders/>
            <w:tcW w:w="2782"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1,1,1,2-Tetrafluoroethane</w:t>
            </w:r>
            <w:r>
              <w:rPr>
                <w:rFonts w:ascii="Times New Roman" w:hAnsi="Times New Roman" w:eastAsia="Times New Roman" w:cs="Times New Roman"/>
                <w:b w:val="0"/>
                <w:lang w:eastAsia="fr-FR"/>
              </w:rPr>
            </w:r>
          </w:p>
        </w:tc>
        <w:tc>
          <w:tcPr>
            <w:tcBorders/>
            <w:tcW w:w="2693" w:type="dxa"/>
            <w:vAlign w:val="center"/>
            <w:textDirection w:val="lrTb"/>
            <w:noWrap w:val="false"/>
          </w:tcPr>
          <w:p>
            <w:pPr>
              <w:pBdr/>
              <w:spacing w:after="0" w:line="240" w:lineRule="auto"/>
              <w:ind/>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air - urban air close to ground</w:t>
            </w:r>
            <w:r>
              <w:rPr>
                <w:rFonts w:ascii="Times New Roman" w:hAnsi="Times New Roman" w:eastAsia="Times New Roman" w:cs="Times New Roman"/>
                <w:b w:val="0"/>
                <w:lang w:eastAsia="fr-FR"/>
              </w:rPr>
            </w:r>
          </w:p>
        </w:tc>
      </w:tr>
      <w:tr>
        <w:trPr/>
        <w:tc>
          <w:tcPr>
            <w:tcBorders/>
            <w:tcW w:w="1150" w:type="dxa"/>
            <w:vAlign w:val="center"/>
            <w:vMerge w:val="continue"/>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922"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0.744</w:t>
            </w:r>
            <w:r>
              <w:rPr>
                <w:rFonts w:ascii="Times New Roman" w:hAnsi="Times New Roman" w:eastAsia="Times New Roman" w:cs="Times New Roman"/>
                <w:lang w:eastAsia="fr-FR"/>
              </w:rPr>
            </w:r>
          </w:p>
        </w:tc>
        <w:tc>
          <w:tcPr>
            <w:tcBorders/>
            <w:tcW w:w="1150"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megajoule</w:t>
            </w:r>
            <w:r>
              <w:rPr>
                <w:rFonts w:ascii="Times New Roman" w:hAnsi="Times New Roman" w:eastAsia="Times New Roman" w:cs="Times New Roman"/>
                <w:lang w:eastAsia="fr-FR"/>
              </w:rPr>
            </w:r>
          </w:p>
        </w:tc>
        <w:tc>
          <w:tcPr>
            <w:tcBorders/>
            <w:tcW w:w="2782"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Energy, geothermal, converted</w:t>
            </w:r>
            <w:r>
              <w:rPr>
                <w:rFonts w:ascii="Times New Roman" w:hAnsi="Times New Roman" w:eastAsia="Times New Roman" w:cs="Times New Roman"/>
                <w:lang w:eastAsia="fr-FR"/>
              </w:rPr>
            </w:r>
          </w:p>
        </w:tc>
        <w:tc>
          <w:tcPr>
            <w:tcBorders/>
            <w:tcW w:w="2693" w:type="dxa"/>
            <w:vAlign w:val="center"/>
            <w:textDirection w:val="lrTb"/>
            <w:noWrap w:val="false"/>
          </w:tcPr>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r>
    </w:tbl>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ab/>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 treatment of heatpump activity, with the same unit consumption as heatpump production</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t xml:space="preserve"> is added to the original activity to take the end-of-life into account.</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Flow values per scenario</w:t>
      </w:r>
      <w:r>
        <w:rPr>
          <w:rFonts w:ascii="Times New Roman" w:hAnsi="Times New Roman" w:eastAsia="Times New Roman" w:cs="Times New Roman"/>
          <w:lang w:eastAsia="fr-FR"/>
        </w:rPr>
        <w:t xml:space="preserve">, with Heat in MJ and other values corresponding to electricity in kWh</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0" w:type="auto"/>
        <w:tblBorders/>
        <w:tblLook w:val="04A0" w:firstRow="1" w:lastRow="0" w:firstColumn="1" w:lastColumn="0" w:noHBand="0" w:noVBand="1"/>
      </w:tblPr>
      <w:tblGrid>
        <w:gridCol w:w="1294"/>
        <w:gridCol w:w="1294"/>
        <w:gridCol w:w="1294"/>
        <w:gridCol w:w="1295"/>
        <w:gridCol w:w="1295"/>
        <w:gridCol w:w="1295"/>
        <w:gridCol w:w="1295"/>
      </w:tblGrid>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Scenario</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Heat</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CHP-&gt;HP</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WT-&gt;HP</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PV-&gt;HP</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BAT-&gt;HP</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GRID-&gt;HP</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680646.64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13012.7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9373.8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25374.0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5223.4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9594.5</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659738.05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13851.4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9213.2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24668.8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5188.5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7255.2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651720.13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14271.6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8447.5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24860.9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5018.4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6692.9</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665639.17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13367.7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8500.1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25326.1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5111.5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8311.6</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674320.21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12733.5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8580.7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25311.4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5285.9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9524.5</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683229.02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11158.6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8760.8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24033.6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5469.6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12913.5</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951394.93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2444.4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14547.7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24023.6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7488.3</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39154.3</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1227110.11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3498.9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33513.9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5197.4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70137.5</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1203943.32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4518.8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31725.0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4681.9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69299.7</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1195660.22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2868.4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27735.9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4462.7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74154.4</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1203414.55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2661.5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27433.7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4252.6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75453.8</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1216990.37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2437.7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27325.2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4077.3</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76940.2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1235389.75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1807.4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27240.2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4079.7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79184.3</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1284537.13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984.7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29721.9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3856.2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81898.3</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682966.48</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16926.8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25801.1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5331.7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14731.6</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679843.33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16987.2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25617.9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5317.6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13978.2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687036.13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17656.5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27153.1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5252.5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12499.3</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701646.73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16589.2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27691.5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5434.3</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14383.0</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714977.53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15027.4</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27179.7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5835.6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17365.3</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712220.40</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13186.9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24394.9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5865.9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21674.7</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1011633.44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2497.2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24359.0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8757.2</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57297.2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22</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682966.48</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18634.6</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25865.5</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18291.2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23</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680423.29</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18665.8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25672.7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17603.9</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685635.01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19785.0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27472.1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15156.2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700616.77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18241.8</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27588.9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18159.0</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26</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714834.61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16944.7</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27436.3</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21023.2</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712636.81</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14735.0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24438.1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25997.1</w:t>
            </w:r>
            <w:r>
              <w:rPr>
                <w:rFonts w:ascii="Times New Roman" w:hAnsi="Times New Roman" w:eastAsia="Times New Roman" w:cs="Times New Roman"/>
                <w:lang w:eastAsia="fr-FR"/>
              </w:rPr>
            </w:r>
          </w:p>
        </w:tc>
      </w:tr>
      <w:tr>
        <w:trPr/>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1020745.84</w:t>
            </w:r>
            <w:r>
              <w:rPr>
                <w:rFonts w:ascii="Times New Roman" w:hAnsi="Times New Roman" w:eastAsia="Times New Roman" w:cs="Times New Roman"/>
                <w:lang w:eastAsia="fr-FR"/>
              </w:rPr>
            </w:r>
          </w:p>
        </w:tc>
        <w:tc>
          <w:tcPr>
            <w:tcBorders/>
            <w:tcW w:w="12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2864.9</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24421.1</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29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66443.9</w:t>
            </w:r>
            <w:r>
              <w:rPr>
                <w:rFonts w:ascii="Times New Roman" w:hAnsi="Times New Roman" w:eastAsia="Times New Roman" w:cs="Times New Roman"/>
                <w:lang w:eastAsia="fr-FR"/>
              </w:rPr>
            </w:r>
          </w:p>
        </w:tc>
      </w:tr>
    </w:tbl>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Heat value produced (MJ) is thus used to scale the refrigerant, unit consumption, and biosphere flows.</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Associated electricity consumptions </w:t>
      </w:r>
      <w:r>
        <w:rPr>
          <w:rFonts w:ascii="Times New Roman" w:hAnsi="Times New Roman" w:eastAsia="Times New Roman" w:cs="Times New Roman"/>
          <w:lang w:eastAsia="fr-FR"/>
        </w:rPr>
        <w:t xml:space="preserve">are used for electricity flows. </w:t>
      </w:r>
      <w:r>
        <w:rPr>
          <w:rFonts w:ascii="Times New Roman" w:hAnsi="Times New Roman" w:eastAsia="Times New Roman" w:cs="Times New Roman"/>
          <w:lang w:eastAsia="fr-FR"/>
        </w:rPr>
        <w:t xml:space="preserve">It can be noted that the heatpump is sparsly used in some scenarios, compared to the typical 2000 operating hours postulated in ecoinvent dataset.</w:t>
      </w:r>
      <w:r>
        <w:rPr>
          <w:rFonts w:ascii="Times New Roman" w:hAnsi="Times New Roman" w:eastAsia="Times New Roman" w:cs="Times New Roman"/>
          <w:lang w:eastAsia="fr-FR"/>
        </w:rPr>
      </w:r>
    </w:p>
    <w:p>
      <w:pPr>
        <w:pBdr/>
        <w:spacing w:after="160" w:line="259" w:lineRule="auto"/>
        <w:ind/>
        <w:jc w:val="left"/>
        <w:rPr>
          <w:rStyle w:val="800"/>
          <w:sz w:val="36"/>
          <w:szCs w:val="36"/>
        </w:rPr>
      </w:pPr>
      <w:r>
        <w:rPr>
          <w:rStyle w:val="800"/>
          <w:sz w:val="36"/>
          <w:szCs w:val="36"/>
        </w:rPr>
        <w:br w:type="page" w:clear="all"/>
      </w:r>
      <w:r>
        <w:rPr>
          <w:rStyle w:val="800"/>
          <w:sz w:val="36"/>
          <w:szCs w:val="36"/>
        </w:rPr>
      </w:r>
    </w:p>
    <w:p>
      <w:pPr>
        <w:pStyle w:val="791"/>
        <w:pBdr/>
        <w:spacing/>
        <w:ind/>
        <w:rPr>
          <w:rStyle w:val="800"/>
        </w:rPr>
      </w:pPr>
      <w:r/>
      <w:bookmarkStart w:id="6" w:name="_Toc201162120"/>
      <w:r>
        <w:rPr>
          <w:rStyle w:val="800"/>
        </w:rPr>
        <w:t xml:space="preserve">PEMEL</w:t>
      </w:r>
      <w:r>
        <w:rPr>
          <w:rStyle w:val="800"/>
        </w:rPr>
        <w:t xml:space="preserve"> flows</w:t>
      </w:r>
      <w:bookmarkEnd w:id="6"/>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lectrolyzer production, 0.5MWe, PEM, BoP</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dataset has been adapted from the work of Gerloff 2021 (DOI: 10.1016/j.est.2021.102759)</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scaling approach in this work follow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Stack components, b=0.7 was used by Gerloff </w:t>
      </w:r>
      <w:r>
        <w:rPr>
          <w:rFonts w:ascii="Times New Roman" w:hAnsi="Times New Roman" w:eastAsia="Times New Roman" w:cs="Times New Roman"/>
          <w:lang w:eastAsia="fr-FR"/>
        </w:rPr>
        <w:t xml:space="preserve">2021 to scale their LCI to 1 MW. </w:t>
      </w:r>
      <w:r>
        <w:rPr>
          <w:rFonts w:ascii="Times New Roman" w:hAnsi="Times New Roman" w:eastAsia="Times New Roman" w:cs="Times New Roman"/>
          <w:lang w:eastAsia="fr-FR"/>
        </w:rPr>
        <w:t xml:space="preserve">We use the same b coefficient to scale down the LCI for our 0.5 MW electrolyzer</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0.5</w:t>
      </w:r>
      <w:r>
        <w:rPr>
          <w:rFonts w:ascii="Times New Roman" w:hAnsi="Times New Roman" w:eastAsia="Times New Roman" w:cs="Times New Roman"/>
          <w:lang w:eastAsia="fr-FR"/>
        </w:rPr>
        <w:t xml:space="preserve"> MW flow = (0.5)</w:t>
      </w:r>
      <w:r>
        <w:rPr>
          <w:rFonts w:ascii="Times New Roman" w:hAnsi="Times New Roman" w:eastAsia="Times New Roman" w:cs="Times New Roman"/>
          <w:vertAlign w:val="superscript"/>
          <w:lang w:eastAsia="fr-FR"/>
        </w:rPr>
        <w:t xml:space="preserve">0.7</w:t>
      </w:r>
      <w:r>
        <w:rPr>
          <w:rFonts w:ascii="Times New Roman" w:hAnsi="Times New Roman" w:eastAsia="Times New Roman" w:cs="Times New Roman"/>
          <w:lang w:eastAsia="fr-FR"/>
        </w:rPr>
        <w:t xml:space="preserve"> * 1</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MW flow</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 specific uncertainty is associated to any flow of this PEMEC LCI.</w:t>
      </w:r>
      <w:r>
        <w:rPr>
          <w:rFonts w:ascii="Times New Roman" w:hAnsi="Times New Roman" w:eastAsia="Times New Roman" w:cs="Times New Roman"/>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E</w:t>
      </w:r>
      <w:r>
        <w:rPr>
          <w:rFonts w:eastAsia="Times New Roman" w:cstheme="minorHAnsi"/>
          <w:b/>
          <w:sz w:val="24"/>
          <w:szCs w:val="24"/>
          <w:lang w:eastAsia="fr-FR"/>
        </w:rPr>
        <w:t xml:space="preserve">lectrolyzer production, 0.5MWe, PEM, Stack</w:t>
      </w:r>
      <w:r>
        <w:rPr>
          <w:rFonts w:eastAsia="Times New Roman" w:cstheme="minorHAnsi"/>
          <w:b/>
          <w:sz w:val="24"/>
          <w:szCs w:val="24"/>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dataset has been adapted from the work of Gerloff 2021 (DOI: 10.1016/j.est.2021.102759)</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scaling approach in this work follow t</w:t>
      </w:r>
      <w:r>
        <w:rPr>
          <w:rFonts w:ascii="Times New Roman" w:hAnsi="Times New Roman" w:eastAsia="Times New Roman" w:cs="Times New Roman"/>
          <w:lang w:eastAsia="fr-FR"/>
        </w:rPr>
        <w:t xml:space="preserve">he approach of Zhang et al. 2017</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br/>
      </w:r>
      <w:r>
        <w:rPr>
          <w:rFonts w:ascii="Times New Roman" w:hAnsi="Times New Roman" w:eastAsia="Times New Roman" w:cs="Times New Roman"/>
          <w:lang w:eastAsia="fr-FR"/>
        </w:rPr>
        <w:t xml:space="preserve">(DOI: 10.1016/j.apenergy.2016.12.098)</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With:</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known flow of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unknown flow of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capacity (here, kW) of plant, equipment, or component 1</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capacity (here, kW) of plant, equipment, or component 2</w:t>
      </w:r>
      <w:r>
        <w:rPr>
          <w:rFonts w:ascii="Times New Roman" w:hAnsi="Times New Roman" w:eastAsia="Times New Roman" w:cs="Times New Roman"/>
          <w:lang w:eastAsia="fr-FR"/>
        </w:rPr>
      </w:r>
    </w:p>
    <w:p>
      <w:pPr>
        <w:pStyle w:val="801"/>
        <w:numPr>
          <w:ilvl w:val="0"/>
          <w:numId w:val="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 scaling factor</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Stack components, b=0.88 was used by Gerloff </w:t>
      </w:r>
      <w:r>
        <w:rPr>
          <w:rFonts w:ascii="Times New Roman" w:hAnsi="Times New Roman" w:eastAsia="Times New Roman" w:cs="Times New Roman"/>
          <w:lang w:eastAsia="fr-FR"/>
        </w:rPr>
        <w:t xml:space="preserve">2021 to scale their LCI to 1 MW. </w:t>
      </w:r>
      <w:r>
        <w:rPr>
          <w:rFonts w:ascii="Times New Roman" w:hAnsi="Times New Roman" w:eastAsia="Times New Roman" w:cs="Times New Roman"/>
          <w:lang w:eastAsia="fr-FR"/>
        </w:rPr>
        <w:t xml:space="preserve">We use the same b coefficient to scale down the LCI for our 0.5 MW electrolyzer</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/C</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 = (X</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/X</w:t>
      </w:r>
      <w:r>
        <w:rPr>
          <w:rFonts w:ascii="Times New Roman" w:hAnsi="Times New Roman" w:eastAsia="Times New Roman" w:cs="Times New Roman"/>
          <w:vertAlign w:val="subscript"/>
          <w:lang w:eastAsia="fr-FR"/>
        </w:rPr>
        <w:t xml:space="preserve">1</w:t>
      </w:r>
      <w:r>
        <w:rPr>
          <w:rFonts w:ascii="Times New Roman" w:hAnsi="Times New Roman" w:eastAsia="Times New Roman" w:cs="Times New Roman"/>
          <w:lang w:eastAsia="fr-FR"/>
        </w:rPr>
        <w:t xml:space="preserve">)</w:t>
      </w:r>
      <w:r>
        <w:rPr>
          <w:rFonts w:ascii="Times New Roman" w:hAnsi="Times New Roman" w:eastAsia="Times New Roman" w:cs="Times New Roman"/>
          <w:vertAlign w:val="superscript"/>
          <w:lang w:eastAsia="fr-FR"/>
        </w:rPr>
        <w:t xml:space="preserve">b</w:t>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center"/>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0.5</w:t>
      </w:r>
      <w:r>
        <w:rPr>
          <w:rFonts w:ascii="Times New Roman" w:hAnsi="Times New Roman" w:eastAsia="Times New Roman" w:cs="Times New Roman"/>
          <w:lang w:eastAsia="fr-FR"/>
        </w:rPr>
        <w:t xml:space="preserve"> MW flow = (0.5)</w:t>
      </w:r>
      <w:r>
        <w:rPr>
          <w:rFonts w:ascii="Times New Roman" w:hAnsi="Times New Roman" w:eastAsia="Times New Roman" w:cs="Times New Roman"/>
          <w:vertAlign w:val="superscript"/>
          <w:lang w:eastAsia="fr-FR"/>
        </w:rPr>
        <w:t xml:space="preserve">0.88</w:t>
      </w:r>
      <w:r>
        <w:rPr>
          <w:rFonts w:ascii="Times New Roman" w:hAnsi="Times New Roman" w:eastAsia="Times New Roman" w:cs="Times New Roman"/>
          <w:lang w:eastAsia="fr-FR"/>
        </w:rPr>
        <w:t xml:space="preserve"> * 1</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MW flow</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There is no dedicated flow for iridium in the ecoinvent 3.1</w:t>
      </w:r>
      <w:r>
        <w:rPr>
          <w:rFonts w:ascii="Times New Roman" w:hAnsi="Times New Roman" w:eastAsia="Times New Roman" w:cs="Times New Roman"/>
          <w:lang w:eastAsia="fr-FR"/>
        </w:rPr>
        <w:t xml:space="preserve">0 database. </w:t>
      </w:r>
      <w:r>
        <w:rPr>
          <w:rFonts w:ascii="Times New Roman" w:hAnsi="Times New Roman" w:eastAsia="Times New Roman" w:cs="Times New Roman"/>
          <w:lang w:eastAsia="fr-FR"/>
        </w:rPr>
        <w:t xml:space="preserve">The iridium flow has thus been reproduced from Gerloff 2021</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Moreover, no uncertainty is associated</w:t>
      </w:r>
      <w:r>
        <w:rPr>
          <w:rFonts w:ascii="Times New Roman" w:hAnsi="Times New Roman" w:eastAsia="Times New Roman" w:cs="Times New Roman"/>
          <w:lang w:eastAsia="fr-FR"/>
        </w:rPr>
        <w:t xml:space="preserve"> to any flow of the PEMEC LCI. </w:t>
      </w:r>
      <w:r>
        <w:rPr>
          <w:rFonts w:ascii="Times New Roman" w:hAnsi="Times New Roman" w:eastAsia="Times New Roman" w:cs="Times New Roman"/>
          <w:lang w:eastAsia="fr-FR"/>
        </w:rPr>
        <w:t xml:space="preserve">However, a 30% triangular uncertainty was added on the platinum flow during the LCI implementation in the premise library f</w:t>
      </w:r>
      <w:r>
        <w:rPr>
          <w:rFonts w:ascii="Times New Roman" w:hAnsi="Times New Roman" w:eastAsia="Times New Roman" w:cs="Times New Roman"/>
          <w:lang w:eastAsia="fr-FR"/>
        </w:rPr>
        <w:t xml:space="preserve">or the brightway LCA framework. </w:t>
      </w:r>
      <w:r>
        <w:rPr>
          <w:rFonts w:ascii="Times New Roman" w:hAnsi="Times New Roman" w:eastAsia="Times New Roman" w:cs="Times New Roman"/>
          <w:lang w:eastAsia="fr-FR"/>
        </w:rPr>
        <w:t xml:space="preserve">We thus also implemented this triangular uncertainty.</w:t>
      </w:r>
      <w:r>
        <w:rPr>
          <w:rFonts w:ascii="Times New Roman" w:hAnsi="Times New Roman" w:eastAsia="Times New Roman" w:cs="Times New Roman"/>
          <w:lang w:eastAsia="fr-FR"/>
        </w:rPr>
      </w:r>
    </w:p>
    <w:p>
      <w:pPr>
        <w:pBdr/>
        <w:spacing w:after="160" w:line="259" w:lineRule="auto"/>
        <w:ind/>
        <w:jc w:val="left"/>
        <w:rPr>
          <w:rFonts w:eastAsia="Times New Roman" w:cstheme="minorHAnsi"/>
          <w:b/>
          <w:sz w:val="22"/>
          <w:szCs w:val="22"/>
          <w:lang w:eastAsia="fr-FR"/>
        </w:rPr>
      </w:pPr>
      <w:r>
        <w:rPr>
          <w:rFonts w:eastAsia="Times New Roman" w:cstheme="minorHAnsi"/>
          <w:b/>
          <w:sz w:val="22"/>
          <w:szCs w:val="22"/>
          <w:lang w:eastAsia="fr-FR"/>
        </w:rPr>
        <w:br w:type="page" w:clear="all"/>
      </w:r>
      <w:r>
        <w:rPr>
          <w:rFonts w:eastAsia="Times New Roman" w:cstheme="minorHAnsi"/>
          <w:b/>
          <w:sz w:val="22"/>
          <w:szCs w:val="22"/>
          <w:lang w:eastAsia="fr-FR"/>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H</w:t>
      </w:r>
      <w:r>
        <w:rPr>
          <w:rFonts w:eastAsia="Times New Roman" w:cstheme="minorHAnsi"/>
          <w:b/>
          <w:sz w:val="24"/>
          <w:szCs w:val="24"/>
          <w:vertAlign w:val="subscript"/>
          <w:lang w:eastAsia="fr-FR"/>
        </w:rPr>
        <w:t xml:space="preserve">2</w:t>
      </w:r>
      <w:r>
        <w:rPr>
          <w:rFonts w:eastAsia="Times New Roman" w:cstheme="minorHAnsi"/>
          <w:b/>
          <w:sz w:val="24"/>
          <w:szCs w:val="24"/>
          <w:lang w:eastAsia="fr-FR"/>
        </w:rPr>
        <w:t xml:space="preserve"> production, from PEMEL</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This dataset has been adapted from</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r>
    </w:p>
    <w:p>
      <w:pPr>
        <w:pStyle w:val="801"/>
        <w:numPr>
          <w:ilvl w:val="0"/>
          <w:numId w:val="3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w:t>
      </w:r>
      <w:r>
        <w:rPr>
          <w:rFonts w:ascii="Times New Roman" w:hAnsi="Times New Roman" w:eastAsia="Times New Roman" w:cs="Times New Roman"/>
          <w:lang w:eastAsia="fr-FR"/>
        </w:rPr>
        <w:t xml:space="preserve">he work of Gerloff 2021 (DOI: 10.1016/j.est.2021.102759) </w:t>
      </w:r>
      <w:r>
        <w:rPr>
          <w:rFonts w:ascii="Times New Roman" w:hAnsi="Times New Roman" w:eastAsia="Times New Roman" w:cs="Times New Roman"/>
          <w:lang w:eastAsia="fr-FR"/>
        </w:rPr>
      </w:r>
    </w:p>
    <w:p>
      <w:pPr>
        <w:pStyle w:val="801"/>
        <w:numPr>
          <w:ilvl w:val="0"/>
          <w:numId w:val="32"/>
        </w:num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w:t>
      </w:r>
      <w:r>
        <w:rPr>
          <w:rFonts w:ascii="Times New Roman" w:hAnsi="Times New Roman" w:eastAsia="Times New Roman" w:cs="Times New Roman"/>
          <w:lang w:eastAsia="fr-FR"/>
        </w:rPr>
        <w:t xml:space="preserve">nd its reprisal in the premise library by Sacchi et al. 2022 (DOI: 10.1016/j.rser.2022.112311)</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Here is the orginal dataset for 1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produced (electricity excluded, as we're using the OpenModel</w:t>
      </w:r>
      <w:r>
        <w:rPr>
          <w:rFonts w:ascii="Times New Roman" w:hAnsi="Times New Roman" w:eastAsia="Times New Roman" w:cs="Times New Roman"/>
          <w:lang w:eastAsia="fr-FR"/>
        </w:rPr>
        <w:t xml:space="preserve">ica simulation </w:t>
      </w:r>
      <w:r>
        <w:rPr>
          <w:rFonts w:ascii="Times New Roman" w:hAnsi="Times New Roman" w:eastAsia="Times New Roman" w:cs="Times New Roman"/>
          <w:lang w:eastAsia="fr-FR"/>
        </w:rPr>
        <w:t xml:space="preserve">of Beerlage et al. 2024 </w:t>
      </w:r>
      <w:r>
        <w:rPr>
          <w:rFonts w:ascii="Times New Roman" w:hAnsi="Times New Roman" w:eastAsia="Times New Roman" w:cs="Times New Roman"/>
          <w:lang w:eastAsia="fr-FR"/>
        </w:rPr>
        <w:t xml:space="preserve">for the electricity</w:t>
      </w:r>
      <w:r>
        <w:rPr>
          <w:rFonts w:ascii="Times New Roman" w:hAnsi="Times New Roman" w:eastAsia="Times New Roman" w:cs="Times New Roman"/>
          <w:lang w:eastAsia="fr-FR"/>
        </w:rPr>
        <w:t xml:space="preserve"> flows):</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0" w:type="auto"/>
        <w:tblBorders/>
        <w:tblLook w:val="04A0" w:firstRow="1" w:lastRow="0" w:firstColumn="1" w:lastColumn="0" w:noHBand="0" w:noVBand="1"/>
      </w:tblPr>
      <w:tblGrid>
        <w:gridCol w:w="1450"/>
        <w:gridCol w:w="1388"/>
        <w:gridCol w:w="1039"/>
        <w:gridCol w:w="4026"/>
      </w:tblGrid>
      <w:tr>
        <w:trPr/>
        <w:tc>
          <w:tcPr>
            <w:tcBorders/>
            <w:tcW w:w="1450" w:type="dxa"/>
            <w:vAlign w:val="center"/>
            <w:vMerge w:val="restart"/>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technosphere</w:t>
            </w:r>
            <w:r>
              <w:rPr>
                <w:rFonts w:ascii="Times New Roman" w:hAnsi="Times New Roman" w:eastAsia="Times New Roman" w:cs="Times New Roman"/>
                <w:lang w:eastAsia="fr-FR"/>
              </w:rPr>
            </w:r>
          </w:p>
        </w:tc>
        <w:tc>
          <w:tcPr>
            <w:tcBorders/>
            <w:tcW w:w="1388"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1.34989e-06</w:t>
            </w:r>
            <w:r>
              <w:rPr>
                <w:rFonts w:ascii="Times New Roman" w:hAnsi="Times New Roman" w:eastAsia="Times New Roman" w:cs="Times New Roman"/>
                <w:b w:val="0"/>
                <w:lang w:eastAsia="fr-FR"/>
              </w:rPr>
            </w:r>
          </w:p>
        </w:tc>
        <w:tc>
          <w:tcPr>
            <w:tcBorders/>
            <w:tcW w:w="1039"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unit</w:t>
            </w:r>
            <w:r>
              <w:rPr>
                <w:rFonts w:ascii="Times New Roman" w:hAnsi="Times New Roman" w:eastAsia="Times New Roman" w:cs="Times New Roman"/>
                <w:b w:val="0"/>
                <w:lang w:eastAsia="fr-FR"/>
              </w:rPr>
            </w:r>
          </w:p>
        </w:tc>
        <w:tc>
          <w:tcPr>
            <w:tcBorders/>
            <w:tcW w:w="4026"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electrolyzer, 0.5MWe, PEM, Stack</w:t>
            </w:r>
            <w:r>
              <w:rPr>
                <w:rFonts w:ascii="Times New Roman" w:hAnsi="Times New Roman" w:eastAsia="Times New Roman" w:cs="Times New Roman"/>
                <w:b w:val="0"/>
                <w:lang w:eastAsia="fr-FR"/>
              </w:rPr>
            </w:r>
          </w:p>
        </w:tc>
      </w:tr>
      <w:tr>
        <w:trPr/>
        <w:tc>
          <w:tcPr>
            <w:tcBorders/>
            <w:tcW w:w="14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388"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3.37473e-07</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w:t>
            </w:r>
            <w:r>
              <w:rPr>
                <w:rFonts w:ascii="Times New Roman" w:hAnsi="Times New Roman" w:eastAsia="Times New Roman" w:cs="Times New Roman"/>
                <w:lang w:eastAsia="fr-FR"/>
              </w:rPr>
            </w:r>
          </w:p>
        </w:tc>
        <w:tc>
          <w:tcPr>
            <w:tcBorders/>
            <w:tcW w:w="402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electrolyzer, 0.5MWe, PEM, Balance of Plant</w:t>
            </w:r>
            <w:r>
              <w:rPr>
                <w:rFonts w:ascii="Times New Roman" w:hAnsi="Times New Roman" w:eastAsia="Times New Roman" w:cs="Times New Roman"/>
                <w:lang w:eastAsia="fr-FR"/>
              </w:rPr>
            </w:r>
          </w:p>
        </w:tc>
      </w:tr>
      <w:tr>
        <w:trPr/>
        <w:tc>
          <w:tcPr>
            <w:tcBorders/>
            <w:tcW w:w="14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388"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-1.34989e-06</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w:t>
            </w:r>
            <w:r>
              <w:rPr>
                <w:rFonts w:ascii="Times New Roman" w:hAnsi="Times New Roman" w:eastAsia="Times New Roman" w:cs="Times New Roman"/>
                <w:lang w:eastAsia="fr-FR"/>
              </w:rPr>
            </w:r>
          </w:p>
        </w:tc>
        <w:tc>
          <w:tcPr>
            <w:tcBorders/>
            <w:tcW w:w="402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used fuel cell stack, 0.5MWe, PEM</w:t>
            </w:r>
            <w:r>
              <w:rPr>
                <w:rFonts w:ascii="Times New Roman" w:hAnsi="Times New Roman" w:eastAsia="Times New Roman" w:cs="Times New Roman"/>
                <w:lang w:eastAsia="fr-FR"/>
              </w:rPr>
            </w:r>
          </w:p>
        </w:tc>
      </w:tr>
      <w:tr>
        <w:trPr/>
        <w:tc>
          <w:tcPr>
            <w:tcBorders/>
            <w:tcW w:w="14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388"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-3.37473e-07</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unit</w:t>
            </w:r>
            <w:r>
              <w:rPr>
                <w:rFonts w:ascii="Times New Roman" w:hAnsi="Times New Roman" w:eastAsia="Times New Roman" w:cs="Times New Roman"/>
                <w:lang w:eastAsia="fr-FR"/>
              </w:rPr>
            </w:r>
          </w:p>
        </w:tc>
        <w:tc>
          <w:tcPr>
            <w:tcBorders/>
            <w:tcW w:w="402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used fuel cell balance of plant, 0.5MWe, PEM</w:t>
            </w:r>
            <w:r>
              <w:rPr>
                <w:rFonts w:ascii="Times New Roman" w:hAnsi="Times New Roman" w:eastAsia="Times New Roman" w:cs="Times New Roman"/>
                <w:lang w:eastAsia="fr-FR"/>
              </w:rPr>
            </w:r>
          </w:p>
        </w:tc>
      </w:tr>
      <w:tr>
        <w:trPr/>
        <w:tc>
          <w:tcPr>
            <w:tcBorders/>
            <w:tcW w:w="14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388"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14.0</w:t>
            </w:r>
            <w:r>
              <w:rPr>
                <w:rFonts w:ascii="Times New Roman" w:hAnsi="Times New Roman" w:eastAsia="Times New Roman" w:cs="Times New Roman"/>
                <w:lang w:eastAsia="fr-FR"/>
              </w:rPr>
            </w:r>
          </w:p>
        </w:tc>
        <w:tc>
          <w:tcPr>
            <w:tcBorders/>
            <w:tcW w:w="1039"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kilogram</w:t>
            </w:r>
            <w:r>
              <w:rPr>
                <w:rFonts w:ascii="Times New Roman" w:hAnsi="Times New Roman" w:eastAsia="Times New Roman" w:cs="Times New Roman"/>
                <w:lang w:eastAsia="fr-FR"/>
              </w:rPr>
            </w:r>
          </w:p>
        </w:tc>
        <w:tc>
          <w:tcPr>
            <w:tcBorders/>
            <w:tcW w:w="402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water, deionized</w:t>
            </w:r>
            <w:r>
              <w:rPr>
                <w:rFonts w:ascii="Times New Roman" w:hAnsi="Times New Roman" w:eastAsia="Times New Roman" w:cs="Times New Roman"/>
                <w:lang w:eastAsia="fr-FR"/>
              </w:rPr>
            </w:r>
          </w:p>
        </w:tc>
      </w:tr>
    </w:tbl>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9180" w:type="dxa"/>
        <w:tblBorders/>
        <w:tblLook w:val="04A0" w:firstRow="1" w:lastRow="0" w:firstColumn="1" w:lastColumn="0" w:noHBand="0" w:noVBand="1"/>
      </w:tblPr>
      <w:tblGrid>
        <w:gridCol w:w="1150"/>
        <w:gridCol w:w="1066"/>
        <w:gridCol w:w="1754"/>
        <w:gridCol w:w="3100"/>
        <w:gridCol w:w="2110"/>
      </w:tblGrid>
      <w:tr>
        <w:trPr/>
        <w:tc>
          <w:tcPr>
            <w:tcBorders/>
            <w:tcW w:w="1150" w:type="dxa"/>
            <w:vAlign w:val="center"/>
            <w:vMerge w:val="restart"/>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biosphere</w:t>
            </w:r>
            <w:r>
              <w:rPr>
                <w:rFonts w:ascii="Times New Roman" w:hAnsi="Times New Roman" w:eastAsia="Times New Roman" w:cs="Times New Roman"/>
                <w:lang w:eastAsia="fr-FR"/>
              </w:rPr>
            </w:r>
          </w:p>
        </w:tc>
        <w:tc>
          <w:tcPr>
            <w:tcBorders/>
            <w:tcW w:w="1066"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8.0</w:t>
            </w:r>
            <w:r>
              <w:rPr>
                <w:rFonts w:ascii="Times New Roman" w:hAnsi="Times New Roman" w:eastAsia="Times New Roman" w:cs="Times New Roman"/>
                <w:b w:val="0"/>
                <w:lang w:eastAsia="fr-FR"/>
              </w:rPr>
            </w:r>
          </w:p>
        </w:tc>
        <w:tc>
          <w:tcPr>
            <w:tcBorders/>
            <w:tcW w:w="1754"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kilogram</w:t>
            </w:r>
            <w:r>
              <w:rPr>
                <w:rFonts w:ascii="Times New Roman" w:hAnsi="Times New Roman" w:eastAsia="Times New Roman" w:cs="Times New Roman"/>
                <w:b w:val="0"/>
                <w:lang w:eastAsia="fr-FR"/>
              </w:rPr>
            </w:r>
          </w:p>
        </w:tc>
        <w:tc>
          <w:tcPr>
            <w:tcBorders/>
            <w:tcW w:w="3100"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Oxygen</w:t>
            </w:r>
            <w:r>
              <w:rPr>
                <w:rFonts w:ascii="Times New Roman" w:hAnsi="Times New Roman" w:eastAsia="Times New Roman" w:cs="Times New Roman"/>
                <w:b w:val="0"/>
                <w:lang w:eastAsia="fr-FR"/>
              </w:rPr>
            </w:r>
          </w:p>
        </w:tc>
        <w:tc>
          <w:tcPr>
            <w:tcBorders/>
            <w:tcW w:w="2110" w:type="dxa"/>
            <w:vAlign w:val="center"/>
            <w:textDirection w:val="lrTb"/>
            <w:noWrap w:val="false"/>
          </w:tcPr>
          <w:p>
            <w:pPr>
              <w:pBdr/>
              <w:spacing w:after="0" w:line="240" w:lineRule="auto"/>
              <w:ind/>
              <w:jc w:val="left"/>
              <w:rPr>
                <w:rFonts w:ascii="Times New Roman" w:hAnsi="Times New Roman" w:eastAsia="Times New Roman" w:cs="Times New Roman"/>
                <w:b w:val="0"/>
                <w:lang w:eastAsia="fr-FR"/>
              </w:rPr>
            </w:pPr>
            <w:r>
              <w:rPr>
                <w:rFonts w:ascii="Times New Roman" w:hAnsi="Times New Roman" w:eastAsia="Times New Roman" w:cs="Times New Roman"/>
                <w:b w:val="0"/>
                <w:lang w:eastAsia="fr-FR"/>
              </w:rPr>
              <w:t xml:space="preserve">air</w:t>
            </w:r>
            <w:r>
              <w:rPr>
                <w:rFonts w:ascii="Times New Roman" w:hAnsi="Times New Roman" w:eastAsia="Times New Roman" w:cs="Times New Roman"/>
                <w:b w:val="0"/>
                <w:lang w:eastAsia="fr-FR"/>
              </w:rPr>
            </w:r>
          </w:p>
        </w:tc>
      </w:tr>
      <w:tr>
        <w:trPr/>
        <w:tc>
          <w:tcPr>
            <w:tcBorders/>
            <w:tcW w:w="11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06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0.000607</w:t>
            </w:r>
            <w:r>
              <w:rPr>
                <w:rFonts w:ascii="Times New Roman" w:hAnsi="Times New Roman" w:eastAsia="Times New Roman" w:cs="Times New Roman"/>
                <w:lang w:eastAsia="fr-FR"/>
              </w:rPr>
            </w:r>
          </w:p>
        </w:tc>
        <w:tc>
          <w:tcPr>
            <w:tcBorders/>
            <w:tcW w:w="1754"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square meter-year</w:t>
            </w:r>
            <w:r>
              <w:rPr>
                <w:rFonts w:ascii="Times New Roman" w:hAnsi="Times New Roman" w:eastAsia="Times New Roman" w:cs="Times New Roman"/>
                <w:lang w:eastAsia="fr-FR"/>
              </w:rPr>
            </w:r>
          </w:p>
        </w:tc>
        <w:tc>
          <w:tcPr>
            <w:tcBorders/>
            <w:tcW w:w="310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Occupation, industrial area</w:t>
            </w:r>
            <w:r>
              <w:rPr>
                <w:rFonts w:ascii="Times New Roman" w:hAnsi="Times New Roman" w:eastAsia="Times New Roman" w:cs="Times New Roman"/>
                <w:lang w:eastAsia="fr-FR"/>
              </w:rPr>
            </w:r>
          </w:p>
        </w:tc>
        <w:tc>
          <w:tcPr>
            <w:tcBorders/>
            <w:tcW w:w="211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natural resource - land</w:t>
            </w:r>
            <w:r>
              <w:rPr>
                <w:rFonts w:ascii="Times New Roman" w:hAnsi="Times New Roman" w:eastAsia="Times New Roman" w:cs="Times New Roman"/>
                <w:lang w:eastAsia="fr-FR"/>
              </w:rPr>
            </w:r>
          </w:p>
        </w:tc>
      </w:tr>
      <w:tr>
        <w:trPr/>
        <w:tc>
          <w:tcPr>
            <w:tcBorders/>
            <w:tcW w:w="11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06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3.04e-05</w:t>
            </w:r>
            <w:r>
              <w:rPr>
                <w:rFonts w:ascii="Times New Roman" w:hAnsi="Times New Roman" w:eastAsia="Times New Roman" w:cs="Times New Roman"/>
                <w:lang w:eastAsia="fr-FR"/>
              </w:rPr>
            </w:r>
          </w:p>
        </w:tc>
        <w:tc>
          <w:tcPr>
            <w:tcBorders/>
            <w:tcW w:w="1754"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square meter</w:t>
            </w:r>
            <w:r>
              <w:rPr>
                <w:rFonts w:ascii="Times New Roman" w:hAnsi="Times New Roman" w:eastAsia="Times New Roman" w:cs="Times New Roman"/>
                <w:lang w:eastAsia="fr-FR"/>
              </w:rPr>
            </w:r>
          </w:p>
        </w:tc>
        <w:tc>
          <w:tcPr>
            <w:tcBorders/>
            <w:tcW w:w="310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Transformation, from industrial area</w:t>
            </w:r>
            <w:r>
              <w:rPr>
                <w:rFonts w:ascii="Times New Roman" w:hAnsi="Times New Roman" w:eastAsia="Times New Roman" w:cs="Times New Roman"/>
                <w:lang w:eastAsia="fr-FR"/>
              </w:rPr>
            </w:r>
          </w:p>
        </w:tc>
        <w:tc>
          <w:tcPr>
            <w:tcBorders/>
            <w:tcW w:w="211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natural resource - land</w:t>
            </w:r>
            <w:r>
              <w:rPr>
                <w:rFonts w:ascii="Times New Roman" w:hAnsi="Times New Roman" w:eastAsia="Times New Roman" w:cs="Times New Roman"/>
                <w:lang w:eastAsia="fr-FR"/>
              </w:rPr>
            </w:r>
          </w:p>
        </w:tc>
      </w:tr>
      <w:tr>
        <w:trPr/>
        <w:tc>
          <w:tcPr>
            <w:tcBorders/>
            <w:tcW w:w="1150" w:type="dxa"/>
            <w:vAlign w:val="center"/>
            <w:vMerge w:val="continue"/>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tcBorders/>
            <w:tcW w:w="1066"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3.04e-05</w:t>
            </w:r>
            <w:r>
              <w:rPr>
                <w:rFonts w:ascii="Times New Roman" w:hAnsi="Times New Roman" w:eastAsia="Times New Roman" w:cs="Times New Roman"/>
                <w:lang w:eastAsia="fr-FR"/>
              </w:rPr>
            </w:r>
          </w:p>
        </w:tc>
        <w:tc>
          <w:tcPr>
            <w:tcBorders/>
            <w:tcW w:w="1754"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square meter</w:t>
            </w:r>
            <w:r>
              <w:rPr>
                <w:rFonts w:ascii="Times New Roman" w:hAnsi="Times New Roman" w:eastAsia="Times New Roman" w:cs="Times New Roman"/>
                <w:lang w:eastAsia="fr-FR"/>
              </w:rPr>
            </w:r>
          </w:p>
        </w:tc>
        <w:tc>
          <w:tcPr>
            <w:tcBorders/>
            <w:tcW w:w="310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Transformation, to industrial area</w:t>
            </w:r>
            <w:r>
              <w:rPr>
                <w:rFonts w:ascii="Times New Roman" w:hAnsi="Times New Roman" w:eastAsia="Times New Roman" w:cs="Times New Roman"/>
                <w:lang w:eastAsia="fr-FR"/>
              </w:rPr>
            </w:r>
          </w:p>
        </w:tc>
        <w:tc>
          <w:tcPr>
            <w:tcBorders/>
            <w:tcW w:w="2110" w:type="dxa"/>
            <w:vAlign w:val="center"/>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natural resource - land</w:t>
            </w:r>
            <w:r>
              <w:rPr>
                <w:rFonts w:ascii="Times New Roman" w:hAnsi="Times New Roman" w:eastAsia="Times New Roman" w:cs="Times New Roman"/>
                <w:lang w:eastAsia="fr-FR"/>
              </w:rPr>
            </w:r>
          </w:p>
        </w:tc>
      </w:tr>
    </w:tbl>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As it can be seen, the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O quantity is 14 kg. </w:t>
      </w:r>
      <w:r>
        <w:rPr>
          <w:rFonts w:ascii="Times New Roman" w:hAnsi="Times New Roman" w:eastAsia="Times New Roman" w:cs="Times New Roman"/>
          <w:lang w:eastAsia="fr-FR"/>
        </w:rPr>
        <w:t xml:space="preserve">This is 1.55 times superior to the </w:t>
      </w:r>
      <w:r>
        <w:rPr>
          <w:rFonts w:ascii="Times New Roman" w:hAnsi="Times New Roman" w:eastAsia="Times New Roman" w:cs="Times New Roman"/>
          <w:lang w:eastAsia="fr-FR"/>
        </w:rPr>
        <w:t xml:space="preserve">stoichiometric</w:t>
      </w:r>
      <w:r>
        <w:rPr>
          <w:rFonts w:ascii="Times New Roman" w:hAnsi="Times New Roman" w:eastAsia="Times New Roman" w:cs="Times New Roman"/>
          <w:lang w:eastAsia="fr-FR"/>
        </w:rPr>
        <w:t xml:space="preserve"> requi</w:t>
      </w:r>
      <w:r>
        <w:rPr>
          <w:rFonts w:ascii="Times New Roman" w:hAnsi="Times New Roman" w:eastAsia="Times New Roman" w:cs="Times New Roman"/>
          <w:lang w:eastAsia="fr-FR"/>
        </w:rPr>
        <w:t xml:space="preserve">rement of 9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O for 1 kg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This quantity is associated to the needed water for cooling.</w:t>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We scale these flows based on the 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production per scenario</w:t>
      </w:r>
      <w:r>
        <w:rPr>
          <w:rFonts w:ascii="Times New Roman" w:hAnsi="Times New Roman" w:eastAsia="Times New Roman" w:cs="Times New Roman"/>
          <w:lang w:eastAsia="fr-FR"/>
        </w:rPr>
        <w:t xml:space="preserve"> in kg</w:t>
      </w:r>
      <w:r>
        <w:rPr>
          <w:rFonts w:ascii="Times New Roman" w:hAnsi="Times New Roman" w:eastAsia="Times New Roman" w:cs="Times New Roman"/>
          <w:lang w:eastAsia="fr-FR"/>
        </w:rPr>
        <w:t xml:space="preserve"> and</w:t>
      </w:r>
      <w:r>
        <w:rPr>
          <w:rFonts w:ascii="Times New Roman" w:hAnsi="Times New Roman" w:eastAsia="Times New Roman" w:cs="Times New Roman"/>
          <w:lang w:eastAsia="fr-FR"/>
        </w:rPr>
        <w:t xml:space="preserve"> associated electricity flows</w:t>
      </w:r>
      <w:r>
        <w:rPr>
          <w:rFonts w:ascii="Times New Roman" w:hAnsi="Times New Roman" w:eastAsia="Times New Roman" w:cs="Times New Roman"/>
          <w:lang w:eastAsia="fr-FR"/>
        </w:rPr>
        <w:t xml:space="preserve"> in kWh</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tbl>
      <w:tblPr>
        <w:tblStyle w:val="807"/>
        <w:tblW w:w="0" w:type="auto"/>
        <w:tblBorders/>
        <w:tblLook w:val="04A0" w:firstRow="1" w:lastRow="0" w:firstColumn="1" w:lastColumn="0" w:noHBand="0" w:noVBand="1"/>
      </w:tblPr>
      <w:tblGrid>
        <w:gridCol w:w="1094"/>
        <w:gridCol w:w="1477"/>
        <w:gridCol w:w="1564"/>
        <w:gridCol w:w="1675"/>
        <w:gridCol w:w="1464"/>
        <w:gridCol w:w="1530"/>
      </w:tblGrid>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Scenario</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H</w:t>
            </w:r>
            <w:r>
              <w:rPr>
                <w:rFonts w:ascii="Times New Roman" w:hAnsi="Times New Roman" w:eastAsia="Times New Roman" w:cs="Times New Roman"/>
                <w:vertAlign w:val="subscript"/>
                <w:lang w:eastAsia="fr-FR"/>
              </w:rPr>
              <w:t xml:space="preserve">2</w:t>
            </w:r>
            <w:r>
              <w:rPr>
                <w:rFonts w:ascii="Times New Roman" w:hAnsi="Times New Roman" w:eastAsia="Times New Roman" w:cs="Times New Roman"/>
                <w:lang w:eastAsia="fr-FR"/>
              </w:rPr>
              <w:t xml:space="preserve"> (kg)</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CHP-&gt;PEMEL</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WT-&gt;PEMEL</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PV-&gt;PEMEL</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BAT-&gt;PEMEL</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16234.13</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25828.9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108582.3</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955011.6</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23580.2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13847.65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25650.7</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101748.0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800343.7</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21644.4</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11799.9</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24284.7</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79871.0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685943.4</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18895.2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11647.54</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20643.9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63533.9</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698146.5</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16224.3</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11384.48</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22911.2</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74984.4</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664875.8</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17742.3</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11056.65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25089.5</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73746.2</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639704.3</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19497.9</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8435.9</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16145.9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66402.3</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481970.9</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13841.7</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3372.68</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7149.0</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190182.0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33898.2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3466.83</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10550.3</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193719.1</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33414.6</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3628.35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15444.9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200226.3</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33086.7</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3434.07</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15988.9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189210.0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30239.1</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3198.73</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15862.1</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176049.3</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27391.5</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2883.48</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16403.2</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157617.9</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23669.0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2073.5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14064.5</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110898.7</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17194.9</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15710.71</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14936.2</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1051227.9</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10953.2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16</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13044.35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14149.1</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869640.7</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10523.2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10985.81</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13633.7</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729688.6</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9858.4</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18</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10873.49</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11403.0</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725743.8</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8333.3</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10637.4</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12568.8</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707948.8</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8776.6</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10370.02</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14729.4</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686101.5</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10132.1</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21</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7834.35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7009.5</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524955.6</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5153.2</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22</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15686.12</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20620.9</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1054810.5</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23</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13027.49</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20481.5</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872675.8</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24</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10977.25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20712.3</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731881.3</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25</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10852.35</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17625.6</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726405.3</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26</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10605.71</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19099.8</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708021.6</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27</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10354.39</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20860.1</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689031.1</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r>
        <w:trPr/>
        <w:tc>
          <w:tcPr>
            <w:tcBorders/>
            <w:tcW w:w="109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28</w:t>
            </w:r>
            <w:r>
              <w:rPr>
                <w:rFonts w:ascii="Times New Roman" w:hAnsi="Times New Roman" w:eastAsia="Times New Roman" w:cs="Times New Roman"/>
                <w:lang w:eastAsia="fr-FR"/>
              </w:rPr>
            </w:r>
          </w:p>
        </w:tc>
        <w:tc>
          <w:tcPr>
            <w:tcBorders/>
            <w:tcW w:w="1477"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7935.67</w:t>
            </w:r>
            <w:r>
              <w:rPr>
                <w:rFonts w:ascii="Times New Roman" w:hAnsi="Times New Roman" w:eastAsia="Times New Roman" w:cs="Times New Roman"/>
                <w:lang w:eastAsia="fr-FR"/>
              </w:rPr>
            </w:r>
          </w:p>
        </w:tc>
        <w:tc>
          <w:tcPr>
            <w:tcBorders/>
            <w:tcW w:w="15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4860.7</w:t>
            </w:r>
            <w:r>
              <w:rPr>
                <w:rFonts w:ascii="Times New Roman" w:hAnsi="Times New Roman" w:eastAsia="Times New Roman" w:cs="Times New Roman"/>
                <w:lang w:eastAsia="fr-FR"/>
              </w:rPr>
            </w:r>
          </w:p>
        </w:tc>
        <w:tc>
          <w:tcPr>
            <w:tcBorders/>
            <w:tcW w:w="1675"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c>
          <w:tcPr>
            <w:tcBorders/>
            <w:tcW w:w="1464"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539204.5</w:t>
            </w:r>
            <w:r>
              <w:rPr>
                <w:rFonts w:ascii="Times New Roman" w:hAnsi="Times New Roman" w:eastAsia="Times New Roman" w:cs="Times New Roman"/>
                <w:lang w:eastAsia="fr-FR"/>
              </w:rPr>
            </w:r>
          </w:p>
        </w:tc>
        <w:tc>
          <w:tcPr>
            <w:tcBorders/>
            <w:tcW w:w="1530" w:type="dxa"/>
            <w:textDirection w:val="lrTb"/>
            <w:noWrap w:val="false"/>
          </w:tcPr>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0.0</w:t>
            </w:r>
            <w:r>
              <w:rPr>
                <w:rFonts w:ascii="Times New Roman" w:hAnsi="Times New Roman" w:eastAsia="Times New Roman" w:cs="Times New Roman"/>
                <w:lang w:eastAsia="fr-FR"/>
              </w:rPr>
            </w:r>
          </w:p>
        </w:tc>
      </w:tr>
    </w:tbl>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Note: the expected lifetime is 20 years with 8000 annual operating hours.</w:t>
      </w:r>
      <w:r>
        <w:rPr>
          <w:rFonts w:ascii="Times New Roman" w:hAnsi="Times New Roman" w:eastAsia="Times New Roman" w:cs="Times New Roman"/>
          <w:lang w:eastAsia="fr-FR"/>
        </w:rPr>
      </w:r>
    </w:p>
    <w:p>
      <w:pPr>
        <w:pBdr/>
        <w:spacing/>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Due to the control sequence in the OpenModelica simulation, the ele</w:t>
      </w:r>
      <w:r>
        <w:rPr>
          <w:rFonts w:ascii="Times New Roman" w:hAnsi="Times New Roman" w:eastAsia="Times New Roman" w:cs="Times New Roman"/>
          <w:lang w:eastAsia="fr-FR"/>
        </w:rPr>
        <w:t xml:space="preserve">ctrolyzer is sparsely used (200–</w:t>
      </w:r>
      <w:r>
        <w:rPr>
          <w:rFonts w:ascii="Times New Roman" w:hAnsi="Times New Roman" w:eastAsia="Times New Roman" w:cs="Times New Roman"/>
          <w:lang w:eastAsia="fr-FR"/>
        </w:rPr>
        <w:t xml:space="preserve">5000 h).</w:t>
      </w:r>
      <w:r>
        <w:rPr>
          <w:rFonts w:ascii="Times New Roman" w:hAnsi="Times New Roman" w:eastAsia="Times New Roman" w:cs="Times New Roman"/>
          <w:lang w:eastAsia="fr-FR"/>
        </w:rPr>
      </w:r>
    </w:p>
    <w:p>
      <w:pPr>
        <w:pStyle w:val="791"/>
        <w:pBdr/>
        <w:spacing/>
        <w:ind/>
        <w:rPr>
          <w:rStyle w:val="800"/>
        </w:rPr>
      </w:pPr>
      <w:r/>
      <w:bookmarkStart w:id="7" w:name="_Toc201162121"/>
      <w:r>
        <w:rPr>
          <w:rStyle w:val="800"/>
        </w:rPr>
        <w:t xml:space="preserve">H2C</w:t>
      </w:r>
      <w:r>
        <w:rPr>
          <w:rStyle w:val="800"/>
        </w:rPr>
        <w:t xml:space="preserve"> flows</w:t>
      </w:r>
      <w:bookmarkEnd w:id="7"/>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H</w:t>
      </w:r>
      <w:r>
        <w:rPr>
          <w:rFonts w:eastAsia="Times New Roman" w:cstheme="minorHAnsi"/>
          <w:b/>
          <w:sz w:val="24"/>
          <w:szCs w:val="24"/>
          <w:lang w:eastAsia="fr-FR"/>
        </w:rPr>
        <w:t xml:space="preserve">ydrogen, from H2C</w:t>
      </w:r>
      <w:r>
        <w:rPr>
          <w:rFonts w:eastAsia="Times New Roman" w:cstheme="minorHAnsi"/>
          <w:b/>
          <w:sz w:val="24"/>
          <w:szCs w:val="24"/>
          <w:lang w:eastAsia="fr-FR"/>
        </w:rPr>
      </w:r>
    </w:p>
    <w:p>
      <w:pPr>
        <w:pStyle w:val="797"/>
        <w:pBdr/>
        <w:spacing w:after="0" w:afterAutospacing="0" w:before="0" w:beforeAutospacing="0"/>
        <w:ind/>
        <w:jc w:val="both"/>
        <w:rPr>
          <w:sz w:val="20"/>
          <w:szCs w:val="20"/>
          <w:lang w:val="en-US"/>
        </w:rPr>
      </w:pPr>
      <w:r>
        <w:rPr>
          <w:sz w:val="20"/>
          <w:szCs w:val="20"/>
          <w:lang w:val="en-US"/>
        </w:rPr>
        <w:t xml:space="preserve">Values based on:</w:t>
      </w:r>
      <w:r>
        <w:rPr>
          <w:sz w:val="20"/>
          <w:szCs w:val="20"/>
          <w:lang w:val="en-US"/>
        </w:rPr>
        <w:t xml:space="preserve"> </w:t>
      </w:r>
      <w:r>
        <w:rPr>
          <w:sz w:val="20"/>
          <w:szCs w:val="20"/>
          <w:lang w:val="en-US"/>
        </w:rPr>
        <w:t xml:space="preserve">G</w:t>
      </w:r>
      <w:r>
        <w:rPr>
          <w:sz w:val="20"/>
          <w:szCs w:val="20"/>
          <w:lang w:val="en-US"/>
        </w:rPr>
        <w:t xml:space="preserve">handehariun</w:t>
      </w:r>
      <w:r>
        <w:rPr>
          <w:sz w:val="20"/>
          <w:szCs w:val="20"/>
          <w:lang w:val="en-US"/>
        </w:rPr>
        <w:t xml:space="preserve"> and K</w:t>
      </w:r>
      <w:r>
        <w:rPr>
          <w:sz w:val="20"/>
          <w:szCs w:val="20"/>
          <w:lang w:val="en-US"/>
        </w:rPr>
        <w:t xml:space="preserve">umar, 2016</w:t>
      </w:r>
      <w:r>
        <w:rPr>
          <w:sz w:val="20"/>
          <w:szCs w:val="20"/>
          <w:lang w:val="en-US"/>
        </w:rPr>
        <w:t xml:space="preserve"> </w:t>
      </w:r>
      <w:r>
        <w:rPr>
          <w:sz w:val="20"/>
          <w:szCs w:val="20"/>
          <w:lang w:val="en-US"/>
        </w:rPr>
        <w:t xml:space="preserve">(</w:t>
      </w:r>
      <w:r>
        <w:rPr>
          <w:sz w:val="20"/>
          <w:szCs w:val="20"/>
          <w:lang w:val="en-US"/>
        </w:rPr>
        <w:t xml:space="preserve">DOI 10.1016/j.ijhydene.2016.04.077</w:t>
      </w:r>
      <w:r>
        <w:rPr>
          <w:sz w:val="20"/>
          <w:szCs w:val="20"/>
          <w:lang w:val="en-US"/>
        </w:rPr>
        <w:t xml:space="preserve">)</w:t>
      </w:r>
      <w:r>
        <w:rPr>
          <w:sz w:val="20"/>
          <w:szCs w:val="20"/>
          <w:lang w:val="en-US"/>
        </w:rPr>
        <w:t xml:space="preserve">. </w:t>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t xml:space="preserve">Their original energy consumption is calculated based on the exit pressure of the compressor whi</w:t>
      </w:r>
      <w:r>
        <w:rPr>
          <w:sz w:val="20"/>
          <w:szCs w:val="20"/>
          <w:lang w:val="en-US"/>
        </w:rPr>
        <w:t xml:space="preserve">ch is considered to be 60 bar. </w:t>
      </w:r>
      <w:r>
        <w:rPr>
          <w:sz w:val="20"/>
          <w:szCs w:val="20"/>
          <w:lang w:val="en-US"/>
        </w:rPr>
        <w:t xml:space="preserve">Their compressor has an efficiency of 70% and lifetime of 22 years.</w:t>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t xml:space="preserve">For 1 kg H</w:t>
      </w:r>
      <w:r>
        <w:rPr>
          <w:sz w:val="20"/>
          <w:szCs w:val="20"/>
          <w:vertAlign w:val="subscript"/>
          <w:lang w:val="en-US"/>
        </w:rPr>
        <w:t xml:space="preserve">2</w:t>
      </w:r>
      <w:r>
        <w:rPr>
          <w:sz w:val="20"/>
          <w:szCs w:val="20"/>
          <w:lang w:val="en-US"/>
        </w:rPr>
        <w:t xml:space="preserve"> compressed:</w:t>
      </w:r>
      <w:r>
        <w:rPr>
          <w:sz w:val="20"/>
          <w:szCs w:val="20"/>
          <w:lang w:val="en-US"/>
        </w:rPr>
      </w:r>
    </w:p>
    <w:p>
      <w:pPr>
        <w:pStyle w:val="797"/>
        <w:pBdr/>
        <w:spacing w:after="0" w:afterAutospacing="0" w:before="0" w:beforeAutospacing="0"/>
        <w:ind/>
        <w:rPr>
          <w:rFonts w:asciiTheme="minorHAnsi" w:hAnsiTheme="minorHAnsi" w:cstheme="minorHAnsi"/>
          <w:sz w:val="22"/>
          <w:szCs w:val="22"/>
          <w:lang w:val="en-US"/>
        </w:rPr>
      </w:pPr>
      <w:r>
        <w:rPr>
          <w:rFonts w:asciiTheme="minorHAnsi" w:hAnsiTheme="minorHAnsi" w:cstheme="minorHAnsi"/>
          <w:sz w:val="22"/>
          <w:szCs w:val="22"/>
          <w:lang w:val="en-US"/>
        </w:rPr>
      </w:r>
      <w:r>
        <w:rPr>
          <w:rFonts w:asciiTheme="minorHAnsi" w:hAnsiTheme="minorHAnsi" w:cstheme="minorHAnsi"/>
          <w:sz w:val="22"/>
          <w:szCs w:val="22"/>
          <w:lang w:val="en-US"/>
        </w:rPr>
      </w:r>
    </w:p>
    <w:tbl>
      <w:tblPr>
        <w:tblStyle w:val="807"/>
        <w:tblW w:w="0" w:type="auto"/>
        <w:tblBorders/>
        <w:tblLook w:val="04A0" w:firstRow="1" w:lastRow="0" w:firstColumn="1" w:lastColumn="0" w:noHBand="0" w:noVBand="1"/>
      </w:tblPr>
      <w:tblGrid>
        <w:gridCol w:w="1450"/>
        <w:gridCol w:w="1066"/>
        <w:gridCol w:w="1039"/>
        <w:gridCol w:w="3299"/>
      </w:tblGrid>
      <w:tr>
        <w:trPr/>
        <w:tc>
          <w:tcPr>
            <w:tcBorders/>
            <w:tcW w:w="1450" w:type="dxa"/>
            <w:vAlign w:val="center"/>
            <w:vMerge w:val="restart"/>
            <w:textDirection w:val="lrTb"/>
            <w:noWrap w:val="false"/>
          </w:tcPr>
          <w:p>
            <w:pPr>
              <w:pStyle w:val="797"/>
              <w:pBdr/>
              <w:spacing w:after="0"/>
              <w:ind/>
              <w:rPr>
                <w:sz w:val="20"/>
                <w:szCs w:val="20"/>
                <w:lang w:val="en-US"/>
              </w:rPr>
            </w:pPr>
            <w:r>
              <w:rPr>
                <w:sz w:val="20"/>
                <w:szCs w:val="20"/>
                <w:lang w:val="en-US"/>
              </w:rPr>
              <w:t xml:space="preserve">technosphere</w:t>
            </w:r>
            <w:r>
              <w:rPr>
                <w:sz w:val="20"/>
                <w:szCs w:val="20"/>
                <w:lang w:val="en-US"/>
              </w:rPr>
            </w:r>
          </w:p>
        </w:tc>
        <w:tc>
          <w:tcPr>
            <w:tcBorders/>
            <w:tcW w:w="1066" w:type="dxa"/>
            <w:vAlign w:val="center"/>
            <w:textDirection w:val="lrTb"/>
            <w:noWrap w:val="false"/>
          </w:tcPr>
          <w:p>
            <w:pPr>
              <w:pStyle w:val="797"/>
              <w:pBdr/>
              <w:spacing w:after="0"/>
              <w:ind/>
              <w:rPr>
                <w:b w:val="0"/>
                <w:sz w:val="20"/>
                <w:szCs w:val="20"/>
                <w:lang w:val="en-US"/>
              </w:rPr>
            </w:pPr>
            <w:r>
              <w:rPr>
                <w:b w:val="0"/>
                <w:sz w:val="20"/>
                <w:szCs w:val="20"/>
                <w:lang w:val="en-US"/>
              </w:rPr>
              <w:t xml:space="preserve">0.00134</w:t>
            </w:r>
            <w:r>
              <w:rPr>
                <w:b w:val="0"/>
                <w:sz w:val="20"/>
                <w:szCs w:val="20"/>
                <w:lang w:val="en-US"/>
              </w:rPr>
            </w:r>
          </w:p>
        </w:tc>
        <w:tc>
          <w:tcPr>
            <w:tcBorders/>
            <w:tcW w:w="1039" w:type="dxa"/>
            <w:vAlign w:val="center"/>
            <w:textDirection w:val="lrTb"/>
            <w:noWrap w:val="false"/>
          </w:tcPr>
          <w:p>
            <w:pPr>
              <w:pStyle w:val="797"/>
              <w:pBdr/>
              <w:spacing w:after="0"/>
              <w:ind/>
              <w:rPr>
                <w:b w:val="0"/>
                <w:sz w:val="20"/>
                <w:szCs w:val="20"/>
                <w:lang w:val="en-US"/>
              </w:rPr>
            </w:pPr>
            <w:r>
              <w:rPr>
                <w:b w:val="0"/>
                <w:sz w:val="20"/>
                <w:szCs w:val="20"/>
                <w:lang w:val="en-US"/>
              </w:rPr>
              <w:t xml:space="preserve">kilogram</w:t>
            </w:r>
            <w:r>
              <w:rPr>
                <w:b w:val="0"/>
                <w:sz w:val="20"/>
                <w:szCs w:val="20"/>
                <w:lang w:val="en-US"/>
              </w:rPr>
            </w:r>
          </w:p>
        </w:tc>
        <w:tc>
          <w:tcPr>
            <w:tcBorders/>
            <w:tcW w:w="3299" w:type="dxa"/>
            <w:vAlign w:val="center"/>
            <w:textDirection w:val="lrTb"/>
            <w:noWrap w:val="false"/>
          </w:tcPr>
          <w:p>
            <w:pPr>
              <w:pStyle w:val="797"/>
              <w:pBdr/>
              <w:spacing w:after="0"/>
              <w:ind/>
              <w:rPr>
                <w:b w:val="0"/>
                <w:sz w:val="20"/>
                <w:szCs w:val="20"/>
                <w:lang w:val="en-US"/>
              </w:rPr>
            </w:pPr>
            <w:r>
              <w:rPr>
                <w:b w:val="0"/>
                <w:sz w:val="20"/>
                <w:szCs w:val="20"/>
                <w:lang w:val="en-US"/>
              </w:rPr>
              <w:t xml:space="preserve">steel, chromium steel 18/8, hot rolled</w:t>
            </w:r>
            <w:r>
              <w:rPr>
                <w:b w:val="0"/>
                <w:sz w:val="20"/>
                <w:szCs w:val="20"/>
                <w:lang w:val="en-US"/>
              </w:rPr>
            </w:r>
          </w:p>
        </w:tc>
      </w:tr>
      <w:tr>
        <w:trPr/>
        <w:tc>
          <w:tcPr>
            <w:tcBorders/>
            <w:tcW w:w="1450" w:type="dxa"/>
            <w:vAlign w:val="center"/>
            <w:vMerge w:val="continue"/>
            <w:textDirection w:val="lrTb"/>
            <w:noWrap w:val="false"/>
          </w:tcPr>
          <w:p>
            <w:pPr>
              <w:pStyle w:val="797"/>
              <w:pBdr/>
              <w:spacing w:after="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ind/>
              <w:rPr>
                <w:sz w:val="20"/>
                <w:szCs w:val="20"/>
                <w:lang w:val="en-US"/>
              </w:rPr>
            </w:pPr>
            <w:r>
              <w:rPr>
                <w:sz w:val="20"/>
                <w:szCs w:val="20"/>
                <w:lang w:val="en-US"/>
              </w:rPr>
              <w:t xml:space="preserve">0.000423</w:t>
            </w:r>
            <w:r>
              <w:rPr>
                <w:sz w:val="20"/>
                <w:szCs w:val="20"/>
                <w:lang w:val="en-US"/>
              </w:rPr>
            </w:r>
          </w:p>
        </w:tc>
        <w:tc>
          <w:tcPr>
            <w:tcBorders/>
            <w:tcW w:w="1039" w:type="dxa"/>
            <w:vAlign w:val="center"/>
            <w:textDirection w:val="lrTb"/>
            <w:noWrap w:val="false"/>
          </w:tcPr>
          <w:p>
            <w:pPr>
              <w:pStyle w:val="797"/>
              <w:pBdr/>
              <w:spacing w:after="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ind/>
              <w:rPr>
                <w:sz w:val="20"/>
                <w:szCs w:val="20"/>
                <w:lang w:val="en-US"/>
              </w:rPr>
            </w:pPr>
            <w:r>
              <w:rPr>
                <w:sz w:val="20"/>
                <w:szCs w:val="20"/>
                <w:lang w:val="en-US"/>
              </w:rPr>
              <w:t xml:space="preserve">cast iron</w:t>
            </w:r>
            <w:r>
              <w:rPr>
                <w:sz w:val="20"/>
                <w:szCs w:val="20"/>
                <w:lang w:val="en-US"/>
              </w:rPr>
            </w:r>
          </w:p>
        </w:tc>
      </w:tr>
      <w:tr>
        <w:trPr/>
        <w:tc>
          <w:tcPr>
            <w:tcBorders/>
            <w:tcW w:w="1450" w:type="dxa"/>
            <w:vAlign w:val="center"/>
            <w:vMerge w:val="continue"/>
            <w:textDirection w:val="lrTb"/>
            <w:noWrap w:val="false"/>
          </w:tcPr>
          <w:p>
            <w:pPr>
              <w:pStyle w:val="797"/>
              <w:pBdr/>
              <w:spacing w:after="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ind/>
              <w:rPr>
                <w:sz w:val="20"/>
                <w:szCs w:val="20"/>
                <w:lang w:val="en-US"/>
              </w:rPr>
            </w:pPr>
            <w:r>
              <w:rPr>
                <w:sz w:val="20"/>
                <w:szCs w:val="20"/>
                <w:lang w:val="en-US"/>
              </w:rPr>
              <w:t xml:space="preserve">4.94e-06</w:t>
            </w:r>
            <w:r>
              <w:rPr>
                <w:sz w:val="20"/>
                <w:szCs w:val="20"/>
                <w:lang w:val="en-US"/>
              </w:rPr>
            </w:r>
          </w:p>
        </w:tc>
        <w:tc>
          <w:tcPr>
            <w:tcBorders/>
            <w:tcW w:w="1039" w:type="dxa"/>
            <w:vAlign w:val="center"/>
            <w:textDirection w:val="lrTb"/>
            <w:noWrap w:val="false"/>
          </w:tcPr>
          <w:p>
            <w:pPr>
              <w:pStyle w:val="797"/>
              <w:pBdr/>
              <w:spacing w:after="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ind/>
              <w:rPr>
                <w:sz w:val="20"/>
                <w:szCs w:val="20"/>
                <w:lang w:val="en-US"/>
              </w:rPr>
            </w:pPr>
            <w:r>
              <w:rPr>
                <w:sz w:val="20"/>
                <w:szCs w:val="20"/>
                <w:lang w:val="en-US"/>
              </w:rPr>
              <w:t xml:space="preserve">ethylene glycol</w:t>
            </w:r>
            <w:r>
              <w:rPr>
                <w:sz w:val="20"/>
                <w:szCs w:val="20"/>
                <w:lang w:val="en-US"/>
              </w:rPr>
            </w:r>
          </w:p>
        </w:tc>
      </w:tr>
      <w:tr>
        <w:trPr/>
        <w:tc>
          <w:tcPr>
            <w:tcBorders/>
            <w:tcW w:w="1450" w:type="dxa"/>
            <w:vAlign w:val="center"/>
            <w:vMerge w:val="continue"/>
            <w:textDirection w:val="lrTb"/>
            <w:noWrap w:val="false"/>
          </w:tcPr>
          <w:p>
            <w:pPr>
              <w:pStyle w:val="797"/>
              <w:pBdr/>
              <w:spacing w:after="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ind/>
              <w:rPr>
                <w:sz w:val="20"/>
                <w:szCs w:val="20"/>
                <w:lang w:val="en-US"/>
              </w:rPr>
            </w:pPr>
            <w:r>
              <w:rPr>
                <w:sz w:val="20"/>
                <w:szCs w:val="20"/>
                <w:lang w:val="en-US"/>
              </w:rPr>
              <w:t xml:space="preserve">1.27e-05</w:t>
            </w:r>
            <w:r>
              <w:rPr>
                <w:sz w:val="20"/>
                <w:szCs w:val="20"/>
                <w:lang w:val="en-US"/>
              </w:rPr>
            </w:r>
          </w:p>
        </w:tc>
        <w:tc>
          <w:tcPr>
            <w:tcBorders/>
            <w:tcW w:w="1039" w:type="dxa"/>
            <w:vAlign w:val="center"/>
            <w:textDirection w:val="lrTb"/>
            <w:noWrap w:val="false"/>
          </w:tcPr>
          <w:p>
            <w:pPr>
              <w:pStyle w:val="797"/>
              <w:pBdr/>
              <w:spacing w:after="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ind/>
              <w:rPr>
                <w:sz w:val="20"/>
                <w:szCs w:val="20"/>
                <w:lang w:val="en-US"/>
              </w:rPr>
            </w:pPr>
            <w:r>
              <w:rPr>
                <w:sz w:val="20"/>
                <w:szCs w:val="20"/>
                <w:lang w:val="en-US"/>
              </w:rPr>
              <w:t xml:space="preserve">lubricating oil</w:t>
            </w:r>
            <w:r>
              <w:rPr>
                <w:sz w:val="20"/>
                <w:szCs w:val="20"/>
                <w:lang w:val="en-US"/>
              </w:rPr>
            </w:r>
          </w:p>
        </w:tc>
      </w:tr>
      <w:tr>
        <w:trPr/>
        <w:tc>
          <w:tcPr>
            <w:tcBorders/>
            <w:tcW w:w="1450" w:type="dxa"/>
            <w:vAlign w:val="center"/>
            <w:vMerge w:val="continue"/>
            <w:textDirection w:val="lrTb"/>
            <w:noWrap w:val="false"/>
          </w:tcPr>
          <w:p>
            <w:pPr>
              <w:pStyle w:val="797"/>
              <w:pBdr/>
              <w:spacing w:after="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ind/>
              <w:rPr>
                <w:sz w:val="20"/>
                <w:szCs w:val="20"/>
                <w:lang w:val="en-US"/>
              </w:rPr>
            </w:pPr>
            <w:r>
              <w:rPr>
                <w:sz w:val="20"/>
                <w:szCs w:val="20"/>
                <w:lang w:val="en-US"/>
              </w:rPr>
              <w:t xml:space="preserve">4.23e-05</w:t>
            </w:r>
            <w:r>
              <w:rPr>
                <w:sz w:val="20"/>
                <w:szCs w:val="20"/>
                <w:lang w:val="en-US"/>
              </w:rPr>
            </w:r>
          </w:p>
        </w:tc>
        <w:tc>
          <w:tcPr>
            <w:tcBorders/>
            <w:tcW w:w="1039" w:type="dxa"/>
            <w:vAlign w:val="center"/>
            <w:textDirection w:val="lrTb"/>
            <w:noWrap w:val="false"/>
          </w:tcPr>
          <w:p>
            <w:pPr>
              <w:pStyle w:val="797"/>
              <w:pBdr/>
              <w:spacing w:after="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ind/>
              <w:rPr>
                <w:sz w:val="20"/>
                <w:szCs w:val="20"/>
                <w:lang w:val="en-US"/>
              </w:rPr>
            </w:pPr>
            <w:r>
              <w:rPr>
                <w:sz w:val="20"/>
                <w:szCs w:val="20"/>
                <w:lang w:val="en-US"/>
              </w:rPr>
              <w:t xml:space="preserve">aluminium, wrought alloy</w:t>
            </w:r>
            <w:r>
              <w:rPr>
                <w:sz w:val="20"/>
                <w:szCs w:val="20"/>
                <w:lang w:val="en-US"/>
              </w:rPr>
            </w:r>
          </w:p>
        </w:tc>
      </w:tr>
      <w:tr>
        <w:trPr/>
        <w:tc>
          <w:tcPr>
            <w:tcBorders/>
            <w:tcW w:w="1450" w:type="dxa"/>
            <w:vAlign w:val="center"/>
            <w:vMerge w:val="continue"/>
            <w:textDirection w:val="lrTb"/>
            <w:noWrap w:val="false"/>
          </w:tcPr>
          <w:p>
            <w:pPr>
              <w:pStyle w:val="797"/>
              <w:pBdr/>
              <w:spacing w:after="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ind/>
              <w:rPr>
                <w:sz w:val="20"/>
                <w:szCs w:val="20"/>
                <w:lang w:val="en-US"/>
              </w:rPr>
            </w:pPr>
            <w:r>
              <w:rPr>
                <w:sz w:val="20"/>
                <w:szCs w:val="20"/>
                <w:lang w:val="en-US"/>
              </w:rPr>
              <w:t xml:space="preserve">1.06e-05</w:t>
            </w:r>
            <w:r>
              <w:rPr>
                <w:sz w:val="20"/>
                <w:szCs w:val="20"/>
                <w:lang w:val="en-US"/>
              </w:rPr>
            </w:r>
          </w:p>
        </w:tc>
        <w:tc>
          <w:tcPr>
            <w:tcBorders/>
            <w:tcW w:w="1039" w:type="dxa"/>
            <w:vAlign w:val="center"/>
            <w:textDirection w:val="lrTb"/>
            <w:noWrap w:val="false"/>
          </w:tcPr>
          <w:p>
            <w:pPr>
              <w:pStyle w:val="797"/>
              <w:pBdr/>
              <w:spacing w:after="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ind/>
              <w:rPr>
                <w:sz w:val="20"/>
                <w:szCs w:val="20"/>
                <w:lang w:val="en-US"/>
              </w:rPr>
            </w:pPr>
            <w:r>
              <w:rPr>
                <w:sz w:val="20"/>
                <w:szCs w:val="20"/>
                <w:lang w:val="en-US"/>
              </w:rPr>
              <w:t xml:space="preserve">tube insulation, elastomere</w:t>
            </w:r>
            <w:r>
              <w:rPr>
                <w:sz w:val="20"/>
                <w:szCs w:val="20"/>
                <w:lang w:val="en-US"/>
              </w:rPr>
            </w:r>
          </w:p>
        </w:tc>
      </w:tr>
      <w:tr>
        <w:trPr/>
        <w:tc>
          <w:tcPr>
            <w:tcBorders/>
            <w:tcW w:w="1450" w:type="dxa"/>
            <w:vAlign w:val="center"/>
            <w:vMerge w:val="continue"/>
            <w:textDirection w:val="lrTb"/>
            <w:noWrap w:val="false"/>
          </w:tcPr>
          <w:p>
            <w:pPr>
              <w:pStyle w:val="797"/>
              <w:pBdr/>
              <w:spacing w:after="0" w:afterAutospacing="0" w:before="0" w:beforeAutospacing="0"/>
              <w:ind/>
              <w:rPr>
                <w:sz w:val="20"/>
                <w:szCs w:val="20"/>
                <w:lang w:val="en-US"/>
              </w:rPr>
            </w:pPr>
            <w:r>
              <w:rPr>
                <w:sz w:val="20"/>
                <w:szCs w:val="20"/>
                <w:lang w:val="en-US"/>
              </w:rPr>
            </w:r>
            <w:r>
              <w:rPr>
                <w:sz w:val="20"/>
                <w:szCs w:val="20"/>
                <w:lang w:val="en-US"/>
              </w:rPr>
            </w:r>
          </w:p>
        </w:tc>
        <w:tc>
          <w:tcPr>
            <w:tcBorders/>
            <w:tcW w:w="1066" w:type="dxa"/>
            <w:vAlign w:val="center"/>
            <w:textDirection w:val="lrTb"/>
            <w:noWrap w:val="false"/>
          </w:tcPr>
          <w:p>
            <w:pPr>
              <w:pStyle w:val="797"/>
              <w:pBdr/>
              <w:spacing w:after="0" w:afterAutospacing="0" w:before="0" w:beforeAutospacing="0"/>
              <w:ind/>
              <w:rPr>
                <w:sz w:val="20"/>
                <w:szCs w:val="20"/>
                <w:lang w:val="en-US"/>
              </w:rPr>
            </w:pPr>
            <w:r>
              <w:rPr>
                <w:sz w:val="20"/>
                <w:szCs w:val="20"/>
                <w:lang w:val="en-US"/>
              </w:rPr>
              <w:t xml:space="preserve">3.17e-05</w:t>
            </w:r>
            <w:r>
              <w:rPr>
                <w:sz w:val="20"/>
                <w:szCs w:val="20"/>
                <w:lang w:val="en-US"/>
              </w:rPr>
            </w:r>
          </w:p>
        </w:tc>
        <w:tc>
          <w:tcPr>
            <w:tcBorders/>
            <w:tcW w:w="1039" w:type="dxa"/>
            <w:vAlign w:val="center"/>
            <w:textDirection w:val="lrTb"/>
            <w:noWrap w:val="false"/>
          </w:tcPr>
          <w:p>
            <w:pPr>
              <w:pStyle w:val="797"/>
              <w:pBdr/>
              <w:spacing w:after="0" w:afterAutospacing="0" w:before="0" w:beforeAutospacing="0"/>
              <w:ind/>
              <w:rPr>
                <w:sz w:val="20"/>
                <w:szCs w:val="20"/>
                <w:lang w:val="en-US"/>
              </w:rPr>
            </w:pPr>
            <w:r>
              <w:rPr>
                <w:sz w:val="20"/>
                <w:szCs w:val="20"/>
                <w:lang w:val="en-US"/>
              </w:rPr>
              <w:t xml:space="preserve">kilogram</w:t>
            </w:r>
            <w:r>
              <w:rPr>
                <w:sz w:val="20"/>
                <w:szCs w:val="20"/>
                <w:lang w:val="en-US"/>
              </w:rPr>
            </w:r>
          </w:p>
        </w:tc>
        <w:tc>
          <w:tcPr>
            <w:tcBorders/>
            <w:tcW w:w="3299" w:type="dxa"/>
            <w:vAlign w:val="center"/>
            <w:textDirection w:val="lrTb"/>
            <w:noWrap w:val="false"/>
          </w:tcPr>
          <w:p>
            <w:pPr>
              <w:pStyle w:val="797"/>
              <w:pBdr/>
              <w:spacing w:after="0" w:afterAutospacing="0" w:before="0" w:beforeAutospacing="0"/>
              <w:ind/>
              <w:rPr>
                <w:sz w:val="20"/>
                <w:szCs w:val="20"/>
                <w:lang w:val="en-US"/>
              </w:rPr>
            </w:pPr>
            <w:r>
              <w:rPr>
                <w:sz w:val="20"/>
                <w:szCs w:val="20"/>
                <w:lang w:val="en-US"/>
              </w:rPr>
              <w:t xml:space="preserve">copper, cathode</w:t>
            </w:r>
            <w:r>
              <w:rPr>
                <w:sz w:val="20"/>
                <w:szCs w:val="20"/>
                <w:lang w:val="en-US"/>
              </w:rPr>
            </w:r>
          </w:p>
        </w:tc>
      </w:tr>
    </w:tbl>
    <w:p>
      <w:pPr>
        <w:pStyle w:val="797"/>
        <w:pBdr/>
        <w:spacing w:after="0" w:afterAutospacing="0" w:before="0" w:beforeAutospacing="0"/>
        <w:ind/>
        <w:rPr>
          <w:rFonts w:asciiTheme="minorHAnsi" w:hAnsiTheme="minorHAnsi" w:cstheme="minorHAnsi"/>
          <w:sz w:val="22"/>
          <w:szCs w:val="22"/>
          <w:lang w:val="en-US"/>
        </w:rPr>
      </w:pPr>
      <w:r>
        <w:rPr>
          <w:rFonts w:asciiTheme="minorHAnsi" w:hAnsiTheme="minorHAnsi" w:cstheme="minorHAnsi"/>
          <w:sz w:val="22"/>
          <w:szCs w:val="22"/>
          <w:lang w:val="en-US"/>
        </w:rPr>
      </w:r>
      <w:r>
        <w:rPr>
          <w:rFonts w:asciiTheme="minorHAnsi" w:hAnsiTheme="minorHAnsi" w:cstheme="minorHAnsi"/>
          <w:sz w:val="22"/>
          <w:szCs w:val="22"/>
          <w:lang w:val="en-US"/>
        </w:rPr>
      </w:r>
    </w:p>
    <w:p>
      <w:pPr>
        <w:pStyle w:val="797"/>
        <w:pBdr/>
        <w:spacing w:after="0" w:afterAutospacing="0" w:before="0" w:beforeAutospacing="0"/>
        <w:ind/>
        <w:jc w:val="both"/>
        <w:rPr>
          <w:sz w:val="20"/>
          <w:szCs w:val="20"/>
          <w:lang w:val="en-US"/>
        </w:rPr>
      </w:pPr>
      <w:r>
        <w:rPr>
          <w:sz w:val="20"/>
          <w:szCs w:val="20"/>
          <w:lang w:val="en-US"/>
        </w:rPr>
        <w:t xml:space="preserve">These values are scaled by the value of H</w:t>
      </w:r>
      <w:r>
        <w:rPr>
          <w:sz w:val="20"/>
          <w:szCs w:val="20"/>
          <w:vertAlign w:val="subscript"/>
          <w:lang w:val="en-US"/>
        </w:rPr>
        <w:t xml:space="preserve">2</w:t>
      </w:r>
      <w:r>
        <w:rPr>
          <w:sz w:val="20"/>
          <w:szCs w:val="20"/>
          <w:lang w:val="en-US"/>
        </w:rPr>
        <w:t xml:space="preserve"> flow</w:t>
      </w:r>
      <w:r>
        <w:rPr>
          <w:sz w:val="20"/>
          <w:szCs w:val="20"/>
          <w:lang w:val="en-US"/>
        </w:rPr>
        <w:t xml:space="preserve"> in kg</w:t>
      </w:r>
      <w:r>
        <w:rPr>
          <w:sz w:val="20"/>
          <w:szCs w:val="20"/>
          <w:lang w:val="en-US"/>
        </w:rPr>
        <w:t xml:space="preserve"> compressed per scenario. </w:t>
      </w:r>
      <w:r>
        <w:rPr>
          <w:sz w:val="20"/>
          <w:szCs w:val="20"/>
          <w:lang w:val="en-US"/>
        </w:rPr>
        <w:t xml:space="preserve">Electricity requirements were excluded and added separately per scenario</w:t>
      </w:r>
      <w:r>
        <w:rPr>
          <w:sz w:val="20"/>
          <w:szCs w:val="20"/>
          <w:lang w:val="en-US"/>
        </w:rPr>
        <w:t xml:space="preserve"> </w:t>
      </w:r>
      <w:r>
        <w:rPr>
          <w:sz w:val="20"/>
          <w:szCs w:val="20"/>
          <w:lang w:val="en-US"/>
        </w:rPr>
        <w:t xml:space="preserve">(based on OpenModelica simulation of Beerlage et al., 2024</w:t>
      </w:r>
      <w:r>
        <w:rPr>
          <w:sz w:val="20"/>
          <w:szCs w:val="20"/>
          <w:lang w:val="en-US"/>
        </w:rPr>
        <w:t xml:space="preserve">, </w:t>
      </w:r>
      <w:r>
        <w:rPr>
          <w:sz w:val="20"/>
          <w:szCs w:val="20"/>
          <w:lang w:val="en-US"/>
        </w:rPr>
        <w:t xml:space="preserve">https://github.com/IKKUengine/CO2InnO-H2-CHP-Demonstrator)</w:t>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t xml:space="preserve">Note: the compressor used has a 80% efficiency</w:t>
      </w:r>
      <w:r>
        <w:rPr>
          <w:sz w:val="20"/>
          <w:szCs w:val="20"/>
          <w:lang w:val="en-US"/>
        </w:rPr>
        <w:t xml:space="preserve"> and compress H</w:t>
      </w:r>
      <w:r>
        <w:rPr>
          <w:sz w:val="20"/>
          <w:szCs w:val="20"/>
          <w:vertAlign w:val="subscript"/>
          <w:lang w:val="en-US"/>
        </w:rPr>
        <w:t xml:space="preserve">2</w:t>
      </w:r>
      <w:r>
        <w:rPr>
          <w:sz w:val="20"/>
          <w:szCs w:val="20"/>
          <w:lang w:val="en-US"/>
        </w:rPr>
        <w:t xml:space="preserve"> to 80 bar</w:t>
      </w:r>
      <w:r>
        <w:rPr>
          <w:sz w:val="20"/>
          <w:szCs w:val="20"/>
          <w:lang w:val="en-US"/>
        </w:rPr>
        <w:t xml:space="preserve">.</w:t>
      </w:r>
      <w:r>
        <w:rPr>
          <w:sz w:val="20"/>
          <w:szCs w:val="20"/>
          <w:lang w:val="en-US"/>
        </w:rPr>
        <w:t xml:space="preserve"> These differences with </w:t>
      </w:r>
      <w:r>
        <w:rPr>
          <w:sz w:val="20"/>
          <w:szCs w:val="20"/>
          <w:lang w:val="en-US"/>
        </w:rPr>
        <w:t xml:space="preserve">G</w:t>
      </w:r>
      <w:r>
        <w:rPr>
          <w:sz w:val="20"/>
          <w:szCs w:val="20"/>
          <w:lang w:val="en-US"/>
        </w:rPr>
        <w:t xml:space="preserve">handehariun</w:t>
      </w:r>
      <w:r>
        <w:rPr>
          <w:sz w:val="20"/>
          <w:szCs w:val="20"/>
          <w:lang w:val="en-US"/>
        </w:rPr>
        <w:t xml:space="preserve"> and K</w:t>
      </w:r>
      <w:r>
        <w:rPr>
          <w:sz w:val="20"/>
          <w:szCs w:val="20"/>
          <w:lang w:val="en-US"/>
        </w:rPr>
        <w:t xml:space="preserve">umar, 2016 are neglected regarding the technosphere flows outlined above.</w:t>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r>
      <w:r>
        <w:rPr>
          <w:sz w:val="20"/>
          <w:szCs w:val="20"/>
          <w:lang w:val="en-US"/>
        </w:rPr>
      </w:r>
    </w:p>
    <w:p>
      <w:pPr>
        <w:pStyle w:val="797"/>
        <w:pBdr/>
        <w:spacing w:after="0" w:afterAutospacing="0" w:before="0" w:beforeAutospacing="0"/>
        <w:ind/>
        <w:jc w:val="both"/>
        <w:rPr>
          <w:sz w:val="20"/>
          <w:szCs w:val="20"/>
          <w:lang w:val="en-US"/>
        </w:rPr>
      </w:pPr>
      <w:r>
        <w:rPr>
          <w:sz w:val="20"/>
          <w:szCs w:val="20"/>
          <w:lang w:val="en-US"/>
        </w:rPr>
        <w:t xml:space="preserve">Thus the H</w:t>
      </w:r>
      <w:r>
        <w:rPr>
          <w:sz w:val="20"/>
          <w:szCs w:val="20"/>
          <w:vertAlign w:val="subscript"/>
          <w:lang w:val="en-US"/>
        </w:rPr>
        <w:t xml:space="preserve">2</w:t>
      </w:r>
      <w:r>
        <w:rPr>
          <w:sz w:val="20"/>
          <w:szCs w:val="20"/>
          <w:lang w:val="en-US"/>
        </w:rPr>
        <w:t xml:space="preserve"> flows </w:t>
      </w:r>
      <w:r>
        <w:rPr>
          <w:sz w:val="20"/>
          <w:szCs w:val="20"/>
          <w:lang w:val="en-US"/>
        </w:rPr>
        <w:t xml:space="preserve">in kg and associated electricity flows in kWh </w:t>
      </w:r>
      <w:r>
        <w:rPr>
          <w:sz w:val="20"/>
          <w:szCs w:val="20"/>
          <w:lang w:val="en-US"/>
        </w:rPr>
        <w:t xml:space="preserve">per scenario:</w:t>
      </w:r>
      <w:r>
        <w:rPr>
          <w:sz w:val="20"/>
          <w:szCs w:val="20"/>
          <w:lang w:val="en-US"/>
        </w:rPr>
      </w:r>
    </w:p>
    <w:p>
      <w:pPr>
        <w:pStyle w:val="797"/>
        <w:pBdr/>
        <w:spacing w:after="0" w:afterAutospacing="0" w:before="0" w:beforeAutospacing="0"/>
        <w:ind/>
        <w:rPr>
          <w:rFonts w:asciiTheme="minorHAnsi" w:hAnsiTheme="minorHAnsi" w:cstheme="minorHAnsi"/>
          <w:sz w:val="22"/>
          <w:szCs w:val="22"/>
          <w:lang w:val="en-US"/>
        </w:rPr>
      </w:pPr>
      <w:r>
        <w:rPr>
          <w:rFonts w:asciiTheme="minorHAnsi" w:hAnsiTheme="minorHAnsi" w:cstheme="minorHAnsi"/>
          <w:sz w:val="22"/>
          <w:szCs w:val="22"/>
          <w:lang w:val="en-US"/>
        </w:rPr>
      </w:r>
      <w:r>
        <w:rPr>
          <w:rFonts w:asciiTheme="minorHAnsi" w:hAnsiTheme="minorHAnsi" w:cstheme="minorHAnsi"/>
          <w:sz w:val="22"/>
          <w:szCs w:val="22"/>
          <w:lang w:val="en-US"/>
        </w:rPr>
      </w:r>
    </w:p>
    <w:tbl>
      <w:tblPr>
        <w:tblStyle w:val="807"/>
        <w:tblW w:w="0" w:type="auto"/>
        <w:tblBorders/>
        <w:tblLook w:val="04A0" w:firstRow="1" w:lastRow="0" w:firstColumn="1" w:lastColumn="0" w:noHBand="0" w:noVBand="1"/>
      </w:tblPr>
      <w:tblGrid>
        <w:gridCol w:w="1094"/>
        <w:gridCol w:w="1686"/>
        <w:gridCol w:w="1408"/>
        <w:gridCol w:w="1519"/>
        <w:gridCol w:w="1308"/>
        <w:gridCol w:w="1375"/>
      </w:tblGrid>
      <w:tr>
        <w:trPr/>
        <w:tc>
          <w:tcPr>
            <w:tcBorders/>
            <w:tcW w:w="1094" w:type="dxa"/>
            <w:textDirection w:val="lrTb"/>
            <w:noWrap w:val="false"/>
          </w:tcPr>
          <w:p>
            <w:pPr>
              <w:pStyle w:val="797"/>
              <w:pBdr/>
              <w:spacing w:after="0"/>
              <w:ind/>
              <w:rPr>
                <w:sz w:val="20"/>
                <w:szCs w:val="20"/>
                <w:lang w:val="en-US"/>
              </w:rPr>
            </w:pPr>
            <w:r>
              <w:rPr>
                <w:sz w:val="20"/>
                <w:szCs w:val="20"/>
                <w:lang w:val="en-US"/>
              </w:rPr>
              <w:t xml:space="preserve">Scenario</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H</w:t>
            </w:r>
            <w:r>
              <w:rPr>
                <w:sz w:val="20"/>
                <w:szCs w:val="20"/>
                <w:vertAlign w:val="subscript"/>
                <w:lang w:val="en-US"/>
              </w:rPr>
              <w:t xml:space="preserve">2</w:t>
            </w:r>
            <w:r>
              <w:rPr>
                <w:sz w:val="20"/>
                <w:szCs w:val="20"/>
                <w:lang w:val="en-US"/>
              </w:rPr>
              <w:t xml:space="preserve"> comp. &amp; stored</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CHP-&gt;H2C</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WT-&gt;H2C</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PV-&gt;H2C</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BAT-&gt;H2C</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10705.2</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2398.3</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10082.4</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88677.4</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2189.5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8388.9</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2381.8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9447.8</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74315.8</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2009.8</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3</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6766.9</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2254.9</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7416.4</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63693.1</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1754.5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4</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6765.9</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1916.9</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5899.4</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64826.3</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1506.5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5</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6374.8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2127.4</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6962.7</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61736.9</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1647.5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6</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5833.1</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2329.7</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6847.7</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59399.6</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1810.5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7</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4387.7</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1499.2</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6165.8</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44753.3</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1285.3</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8</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2873.0</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663.8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17659.3</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3147.6</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9</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2613.0</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979.6</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17987.8</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3102.7</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10</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2317.1</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1434.1</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18592.0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3072.3</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11</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2047.8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1484.6</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17569.1</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2807.8</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12</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1784.0</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1472.9</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16347.0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2543.4</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13</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1364.3</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1523.1</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14635.6</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2197.8</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14</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714.8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1306.0</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10297.5</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1596.6</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15</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11293.5</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1386.9</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97611.6</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1017.1</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16</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8813.7</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1313.8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80750.3</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977.1</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17</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7146.4</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1266.0</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67755.1</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915.4</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18</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7117.5</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1058.8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67388.8</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773.8</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19</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6677.4</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1167.1</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65736.4</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814.9</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20</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5906.8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1367.7</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63707.8</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940.8</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21</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4401.1</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650.9</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48744.6</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478.5</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22</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11315.3</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1914.8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97944.2</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23</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8829.2</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1901.8</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81032.1</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24</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7205.7</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1923.2</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67958.7</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25</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7081.7</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1636.6</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67450.2</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26</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6698.8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1773.5</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65743.2</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ind/>
              <w:rPr>
                <w:sz w:val="20"/>
                <w:szCs w:val="20"/>
                <w:lang w:val="en-US"/>
              </w:rPr>
            </w:pPr>
            <w:r>
              <w:rPr>
                <w:sz w:val="20"/>
                <w:szCs w:val="20"/>
                <w:lang w:val="en-US"/>
              </w:rPr>
              <w:t xml:space="preserve">27</w:t>
            </w:r>
            <w:r>
              <w:rPr>
                <w:sz w:val="20"/>
                <w:szCs w:val="20"/>
                <w:lang w:val="en-US"/>
              </w:rPr>
            </w:r>
          </w:p>
        </w:tc>
        <w:tc>
          <w:tcPr>
            <w:tcBorders/>
            <w:tcW w:w="1686" w:type="dxa"/>
            <w:textDirection w:val="lrTb"/>
            <w:noWrap w:val="false"/>
          </w:tcPr>
          <w:p>
            <w:pPr>
              <w:pStyle w:val="797"/>
              <w:pBdr/>
              <w:spacing w:after="0"/>
              <w:ind/>
              <w:rPr>
                <w:sz w:val="20"/>
                <w:szCs w:val="20"/>
                <w:lang w:val="en-US"/>
              </w:rPr>
            </w:pPr>
            <w:r>
              <w:rPr>
                <w:sz w:val="20"/>
                <w:szCs w:val="20"/>
                <w:lang w:val="en-US"/>
              </w:rPr>
              <w:t xml:space="preserve">5914.8</w:t>
            </w:r>
            <w:r>
              <w:rPr>
                <w:sz w:val="20"/>
                <w:szCs w:val="20"/>
                <w:lang w:val="en-US"/>
              </w:rPr>
            </w:r>
          </w:p>
        </w:tc>
        <w:tc>
          <w:tcPr>
            <w:tcBorders/>
            <w:tcW w:w="1408" w:type="dxa"/>
            <w:textDirection w:val="lrTb"/>
            <w:noWrap w:val="false"/>
          </w:tcPr>
          <w:p>
            <w:pPr>
              <w:pStyle w:val="797"/>
              <w:pBdr/>
              <w:spacing w:after="0"/>
              <w:ind/>
              <w:rPr>
                <w:sz w:val="20"/>
                <w:szCs w:val="20"/>
                <w:lang w:val="en-US"/>
              </w:rPr>
            </w:pPr>
            <w:r>
              <w:rPr>
                <w:sz w:val="20"/>
                <w:szCs w:val="20"/>
                <w:lang w:val="en-US"/>
              </w:rPr>
              <w:t xml:space="preserve">1937.0</w:t>
            </w:r>
            <w:r>
              <w:rPr>
                <w:sz w:val="20"/>
                <w:szCs w:val="20"/>
                <w:lang w:val="en-US"/>
              </w:rPr>
            </w:r>
          </w:p>
        </w:tc>
        <w:tc>
          <w:tcPr>
            <w:tcBorders/>
            <w:tcW w:w="1519"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ind/>
              <w:rPr>
                <w:sz w:val="20"/>
                <w:szCs w:val="20"/>
                <w:lang w:val="en-US"/>
              </w:rPr>
            </w:pPr>
            <w:r>
              <w:rPr>
                <w:sz w:val="20"/>
                <w:szCs w:val="20"/>
                <w:lang w:val="en-US"/>
              </w:rPr>
              <w:t xml:space="preserve">63979.8</w:t>
            </w:r>
            <w:r>
              <w:rPr>
                <w:sz w:val="20"/>
                <w:szCs w:val="20"/>
                <w:lang w:val="en-US"/>
              </w:rPr>
            </w:r>
          </w:p>
        </w:tc>
        <w:tc>
          <w:tcPr>
            <w:tcBorders/>
            <w:tcW w:w="1375" w:type="dxa"/>
            <w:textDirection w:val="lrTb"/>
            <w:noWrap w:val="false"/>
          </w:tcPr>
          <w:p>
            <w:pPr>
              <w:pStyle w:val="797"/>
              <w:pBdr/>
              <w:spacing w:after="0"/>
              <w:ind/>
              <w:rPr>
                <w:sz w:val="20"/>
                <w:szCs w:val="20"/>
                <w:lang w:val="en-US"/>
              </w:rPr>
            </w:pPr>
            <w:r>
              <w:rPr>
                <w:sz w:val="20"/>
                <w:szCs w:val="20"/>
                <w:lang w:val="en-US"/>
              </w:rPr>
              <w:t xml:space="preserve">0.0</w:t>
            </w:r>
            <w:r>
              <w:rPr>
                <w:sz w:val="20"/>
                <w:szCs w:val="20"/>
                <w:lang w:val="en-US"/>
              </w:rPr>
            </w:r>
          </w:p>
        </w:tc>
      </w:tr>
      <w:tr>
        <w:trPr/>
        <w:tc>
          <w:tcPr>
            <w:tcBorders/>
            <w:tcW w:w="1094"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28</w:t>
            </w:r>
            <w:r>
              <w:rPr>
                <w:sz w:val="20"/>
                <w:szCs w:val="20"/>
                <w:lang w:val="en-US"/>
              </w:rPr>
            </w:r>
          </w:p>
        </w:tc>
        <w:tc>
          <w:tcPr>
            <w:tcBorders/>
            <w:tcW w:w="1686"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4518.0</w:t>
            </w:r>
            <w:r>
              <w:rPr>
                <w:sz w:val="20"/>
                <w:szCs w:val="20"/>
                <w:lang w:val="en-US"/>
              </w:rPr>
            </w:r>
          </w:p>
        </w:tc>
        <w:tc>
          <w:tcPr>
            <w:tcBorders/>
            <w:tcW w:w="1408"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451.3</w:t>
            </w:r>
            <w:r>
              <w:rPr>
                <w:sz w:val="20"/>
                <w:szCs w:val="20"/>
                <w:lang w:val="en-US"/>
              </w:rPr>
            </w:r>
          </w:p>
        </w:tc>
        <w:tc>
          <w:tcPr>
            <w:tcBorders/>
            <w:tcW w:w="1519"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0.0</w:t>
            </w:r>
            <w:r>
              <w:rPr>
                <w:sz w:val="20"/>
                <w:szCs w:val="20"/>
                <w:lang w:val="en-US"/>
              </w:rPr>
            </w:r>
          </w:p>
        </w:tc>
        <w:tc>
          <w:tcPr>
            <w:tcBorders/>
            <w:tcW w:w="1308"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50067.7</w:t>
            </w:r>
            <w:r>
              <w:rPr>
                <w:sz w:val="20"/>
                <w:szCs w:val="20"/>
                <w:lang w:val="en-US"/>
              </w:rPr>
            </w:r>
          </w:p>
        </w:tc>
        <w:tc>
          <w:tcPr>
            <w:tcBorders/>
            <w:tcW w:w="1375" w:type="dxa"/>
            <w:textDirection w:val="lrTb"/>
            <w:noWrap w:val="false"/>
          </w:tcPr>
          <w:p>
            <w:pPr>
              <w:pStyle w:val="797"/>
              <w:pBdr/>
              <w:spacing w:after="0" w:afterAutospacing="0" w:before="0" w:beforeAutospacing="0"/>
              <w:ind/>
              <w:rPr>
                <w:sz w:val="20"/>
                <w:szCs w:val="20"/>
                <w:lang w:val="en-US"/>
              </w:rPr>
            </w:pPr>
            <w:r>
              <w:rPr>
                <w:sz w:val="20"/>
                <w:szCs w:val="20"/>
                <w:lang w:val="en-US"/>
              </w:rPr>
              <w:t xml:space="preserve">0.0</w:t>
            </w:r>
            <w:r>
              <w:rPr>
                <w:sz w:val="20"/>
                <w:szCs w:val="20"/>
                <w:lang w:val="en-US"/>
              </w:rPr>
            </w:r>
          </w:p>
        </w:tc>
      </w:tr>
    </w:tbl>
    <w:p>
      <w:pPr>
        <w:pStyle w:val="797"/>
        <w:pBdr/>
        <w:spacing w:after="0" w:afterAutospacing="0" w:before="0" w:beforeAutospacing="0"/>
        <w:ind/>
        <w:rPr>
          <w:sz w:val="22"/>
          <w:szCs w:val="22"/>
        </w:rPr>
      </w:pPr>
      <w:r>
        <w:rPr>
          <w:sz w:val="22"/>
          <w:szCs w:val="22"/>
        </w:rPr>
      </w:r>
      <w:r>
        <w:rPr>
          <w:sz w:val="22"/>
          <w:szCs w:val="22"/>
        </w:rPr>
      </w:r>
    </w:p>
    <w:p>
      <w:pPr>
        <w:pStyle w:val="791"/>
        <w:pBdr/>
        <w:spacing/>
        <w:ind/>
        <w:rPr>
          <w:rStyle w:val="800"/>
        </w:rPr>
      </w:pPr>
      <w:r/>
      <w:bookmarkStart w:id="8" w:name="_Toc201162122"/>
      <w:r>
        <w:rPr>
          <w:rStyle w:val="800"/>
        </w:rPr>
        <w:t xml:space="preserve">H2S</w:t>
      </w:r>
      <w:r>
        <w:rPr>
          <w:rStyle w:val="800"/>
        </w:rPr>
        <w:t xml:space="preserve"> flows</w:t>
      </w:r>
      <w:bookmarkEnd w:id="8"/>
      <w:r/>
      <w:r>
        <w:rPr>
          <w:rStyle w:val="800"/>
        </w:rPr>
      </w:r>
    </w:p>
    <w:p>
      <w:pPr>
        <w:pBdr/>
        <w:spacing/>
        <w:ind/>
        <w:jc w:val="left"/>
        <w:rPr>
          <w:rFonts w:eastAsia="Times New Roman" w:cstheme="minorHAnsi"/>
          <w:b/>
          <w:sz w:val="24"/>
          <w:szCs w:val="24"/>
          <w:lang w:eastAsia="fr-FR"/>
        </w:rPr>
      </w:pPr>
      <w:r>
        <w:rPr>
          <w:rFonts w:eastAsia="Times New Roman" w:cstheme="minorHAnsi"/>
          <w:b/>
          <w:sz w:val="24"/>
          <w:szCs w:val="24"/>
          <w:lang w:eastAsia="fr-FR"/>
        </w:rPr>
        <w:t xml:space="preserve">H</w:t>
      </w:r>
      <w:r>
        <w:rPr>
          <w:rFonts w:eastAsia="Times New Roman" w:cstheme="minorHAnsi"/>
          <w:b/>
          <w:sz w:val="24"/>
          <w:szCs w:val="24"/>
          <w:lang w:eastAsia="fr-FR"/>
        </w:rPr>
        <w:t xml:space="preserve">ydrogen storage use</w:t>
      </w:r>
      <w:r>
        <w:rPr>
          <w:rFonts w:eastAsia="Times New Roman" w:cstheme="minorHAnsi"/>
          <w:b/>
          <w:sz w:val="24"/>
          <w:szCs w:val="24"/>
          <w:lang w:eastAsia="fr-FR"/>
        </w:rPr>
      </w:r>
    </w:p>
    <w:p>
      <w:pPr>
        <w:pBdr/>
        <w:spacing w:after="0" w:line="240" w:lineRule="auto"/>
        <w:ind/>
        <w:rPr>
          <w:rFonts w:ascii="Times New Roman" w:hAnsi="Times New Roman" w:eastAsia="Times New Roman" w:cs="Times New Roman"/>
          <w:lang w:val="fr-FR" w:eastAsia="fr-FR"/>
        </w:rPr>
      </w:pPr>
      <w:r>
        <w:rPr>
          <w:rFonts w:ascii="Times New Roman" w:hAnsi="Times New Roman" w:eastAsia="Times New Roman" w:cs="Times New Roman"/>
          <w:lang w:eastAsia="fr-FR"/>
        </w:rPr>
        <w:t xml:space="preserve">This activity is based on the "storage production, 10'000 l" ecoinvent activity</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The original product in ecoinvent is assumed to undergo 100 000 h of operation, w</w:t>
      </w:r>
      <w:r>
        <w:rPr>
          <w:rFonts w:ascii="Times New Roman" w:hAnsi="Times New Roman" w:eastAsia="Times New Roman" w:cs="Times New Roman"/>
          <w:lang w:eastAsia="fr-FR"/>
        </w:rPr>
        <w:t xml:space="preserve">hich translates in 11-12 years. </w:t>
      </w:r>
      <w:r>
        <w:rPr>
          <w:rFonts w:ascii="Times New Roman" w:hAnsi="Times New Roman" w:eastAsia="Times New Roman" w:cs="Times New Roman"/>
          <w:lang w:eastAsia="fr-FR"/>
        </w:rPr>
        <w:t xml:space="preserve">As the data is quite old, we change the assumption to 20 years</w:t>
      </w:r>
      <w:r>
        <w:rPr>
          <w:rFonts w:ascii="Times New Roman" w:hAnsi="Times New Roman" w:eastAsia="Times New Roman" w:cs="Times New Roman"/>
          <w:lang w:eastAsia="fr-FR"/>
        </w:rPr>
        <w:t xml:space="preserve">, following the value considered in the </w:t>
      </w:r>
      <w:r>
        <w:rPr>
          <w:rFonts w:ascii="Times New Roman" w:hAnsi="Times New Roman" w:eastAsia="Times New Roman" w:cs="Times New Roman"/>
          <w:lang w:eastAsia="fr-FR"/>
        </w:rPr>
        <w:t xml:space="preserve">OpenModelica simu</w:t>
      </w:r>
      <w:r>
        <w:rPr>
          <w:rFonts w:ascii="Times New Roman" w:hAnsi="Times New Roman" w:eastAsia="Times New Roman" w:cs="Times New Roman"/>
          <w:lang w:eastAsia="fr-FR"/>
        </w:rPr>
        <w:t xml:space="preserve">lation.</w:t>
      </w:r>
      <w:r>
        <w:rPr>
          <w:rFonts w:ascii="Times New Roman" w:hAnsi="Times New Roman" w:eastAsia="Times New Roman" w:cs="Times New Roman"/>
          <w:lang w:eastAsia="fr-FR"/>
        </w:rPr>
        <w:br/>
      </w:r>
      <w:r>
        <w:rPr>
          <w:rFonts w:ascii="Times New Roman" w:hAnsi="Times New Roman" w:eastAsia="Times New Roman" w:cs="Times New Roman"/>
          <w:lang w:val="fr-FR" w:eastAsia="fr-FR"/>
        </w:rPr>
        <w:t xml:space="preserve">(Beerlage et al., 2024. </w:t>
      </w:r>
      <w:r>
        <w:rPr>
          <w:rFonts w:ascii="Times New Roman" w:hAnsi="Times New Roman" w:eastAsia="Times New Roman" w:cs="Times New Roman"/>
          <w:lang w:val="fr-FR" w:eastAsia="fr-FR"/>
        </w:rPr>
        <w:t xml:space="preserve">https://github.com/IKKUeng</w:t>
      </w:r>
      <w:r>
        <w:rPr>
          <w:rFonts w:ascii="Times New Roman" w:hAnsi="Times New Roman" w:eastAsia="Times New Roman" w:cs="Times New Roman"/>
          <w:lang w:val="fr-FR" w:eastAsia="fr-FR"/>
        </w:rPr>
        <w:t xml:space="preserve">ine/CO2InnO-H2-CHP-Demonstrator</w:t>
      </w:r>
      <w:r>
        <w:rPr>
          <w:rFonts w:ascii="Times New Roman" w:hAnsi="Times New Roman" w:eastAsia="Times New Roman" w:cs="Times New Roman"/>
          <w:lang w:val="fr-FR" w:eastAsia="fr-FR"/>
        </w:rPr>
        <w:t xml:space="preserve">)</w:t>
      </w:r>
      <w:r>
        <w:rPr>
          <w:rFonts w:ascii="Times New Roman" w:hAnsi="Times New Roman" w:eastAsia="Times New Roman" w:cs="Times New Roman"/>
          <w:lang w:val="fr-FR" w:eastAsia="fr-FR"/>
        </w:rPr>
      </w:r>
    </w:p>
    <w:p>
      <w:pPr>
        <w:pBdr/>
        <w:spacing w:after="0" w:line="240" w:lineRule="auto"/>
        <w:ind/>
        <w:jc w:val="left"/>
        <w:rPr>
          <w:rFonts w:ascii="Times New Roman" w:hAnsi="Times New Roman" w:eastAsia="Times New Roman" w:cs="Times New Roman"/>
          <w:lang w:val="fr-FR" w:eastAsia="fr-FR"/>
        </w:rPr>
      </w:pPr>
      <w:r>
        <w:rPr>
          <w:rFonts w:ascii="Times New Roman" w:hAnsi="Times New Roman" w:eastAsia="Times New Roman" w:cs="Times New Roman"/>
          <w:lang w:val="fr-FR" w:eastAsia="fr-FR"/>
        </w:rPr>
      </w:r>
      <w:r>
        <w:rPr>
          <w:rFonts w:ascii="Times New Roman" w:hAnsi="Times New Roman" w:eastAsia="Times New Roman" w:cs="Times New Roman"/>
          <w:lang w:val="fr-FR"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10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w:t>
      </w:r>
      <w:r>
        <w:rPr>
          <w:rFonts w:ascii="Times New Roman" w:hAnsi="Times New Roman" w:eastAsia="Times New Roman" w:cs="Times New Roman"/>
          <w:vertAlign w:val="superscript"/>
          <w:lang w:eastAsia="fr-FR"/>
        </w:rPr>
        <w:t xml:space="preserve">3</w:t>
      </w:r>
      <w:r>
        <w:rPr>
          <w:rFonts w:ascii="Times New Roman" w:hAnsi="Times New Roman" w:eastAsia="Times New Roman" w:cs="Times New Roman"/>
          <w:lang w:eastAsia="fr-FR"/>
        </w:rPr>
        <w:t xml:space="preserve"> volume storage:</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0.1 "storage production, 10'000 l" used</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1/20 = 0.05 unit use per year</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unit comsumption of storage for a year of the energy system is:</w:t>
      </w:r>
      <w:r>
        <w:rPr>
          <w:rFonts w:ascii="Times New Roman" w:hAnsi="Times New Roman" w:eastAsia="Times New Roman" w:cs="Times New Roman"/>
          <w:lang w:eastAsia="fr-FR"/>
        </w:rPr>
      </w:r>
    </w:p>
    <w:p>
      <w:pPr>
        <w:pBdr/>
        <w:spacing/>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0.1 * 0.05 = 0.005</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For 1000</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m</w:t>
      </w:r>
      <w:r>
        <w:rPr>
          <w:rFonts w:ascii="Times New Roman" w:hAnsi="Times New Roman" w:eastAsia="Times New Roman" w:cs="Times New Roman"/>
          <w:vertAlign w:val="superscript"/>
          <w:lang w:eastAsia="fr-FR"/>
        </w:rPr>
        <w:t xml:space="preserve">3</w:t>
      </w:r>
      <w:r>
        <w:rPr>
          <w:rFonts w:ascii="Times New Roman" w:hAnsi="Times New Roman" w:eastAsia="Times New Roman" w:cs="Times New Roman"/>
          <w:lang w:eastAsia="fr-FR"/>
        </w:rPr>
        <w:t xml:space="preserve"> volume storage:</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100 "storage production, 10'000 l" used</w:t>
      </w:r>
      <w:r>
        <w:rPr>
          <w:rFonts w:ascii="Times New Roman" w:hAnsi="Times New Roman" w:eastAsia="Times New Roman" w:cs="Times New Roman"/>
          <w:lang w:eastAsia="fr-FR"/>
        </w:rPr>
      </w:r>
    </w:p>
    <w:p>
      <w:pPr>
        <w:pBdr/>
        <w:spacing w:after="0" w:line="240" w:lineRule="auto"/>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1/20 = 0.05 unit use per year</w:t>
      </w:r>
      <w:r>
        <w:rPr>
          <w:rFonts w:ascii="Times New Roman" w:hAnsi="Times New Roman" w:eastAsia="Times New Roman" w:cs="Times New Roman"/>
          <w:lang w:eastAsia="fr-FR"/>
        </w:rPr>
      </w:r>
    </w:p>
    <w:p>
      <w:pPr>
        <w:pBdr/>
        <w:spacing w:after="0" w:line="240" w:lineRule="auto"/>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So unit comsumption of storage for a year of the energy system is:</w:t>
      </w:r>
      <w:r>
        <w:rPr>
          <w:rFonts w:ascii="Times New Roman" w:hAnsi="Times New Roman" w:eastAsia="Times New Roman" w:cs="Times New Roman"/>
          <w:lang w:eastAsia="fr-FR"/>
        </w:rPr>
      </w:r>
    </w:p>
    <w:p>
      <w:pPr>
        <w:pBdr/>
        <w:spacing/>
        <w:ind w:firstLine="708"/>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100 * 0.05 = 5</w:t>
      </w:r>
      <w:r>
        <w:rPr>
          <w:rFonts w:ascii="Times New Roman" w:hAnsi="Times New Roman" w:eastAsia="Times New Roman" w:cs="Times New Roman"/>
          <w:lang w:eastAsia="fr-FR"/>
        </w:rPr>
      </w:r>
    </w:p>
    <w:p>
      <w:pPr>
        <w:pBdr/>
        <w:spacing/>
        <w:ind/>
        <w:jc w:val="left"/>
        <w:rPr>
          <w:rFonts w:ascii="Times New Roman" w:hAnsi="Times New Roman" w:eastAsia="Times New Roman" w:cs="Times New Roman"/>
          <w:lang w:eastAsia="fr-FR"/>
        </w:rPr>
      </w:pPr>
      <w:r>
        <w:rPr>
          <w:rFonts w:ascii="Times New Roman" w:hAnsi="Times New Roman" w:eastAsia="Times New Roman" w:cs="Times New Roman"/>
          <w:lang w:eastAsia="fr-FR"/>
        </w:rPr>
        <w:t xml:space="preserve">The same logic is applied for every H2S storage capacity</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r>
    </w:p>
    <w:p>
      <w:pPr>
        <w:pBdr/>
        <w:spacing/>
        <w:ind/>
        <w:jc w:val="left"/>
        <w:rPr>
          <w:rFonts w:eastAsia="Times New Roman" w:cstheme="minorHAnsi"/>
          <w:sz w:val="22"/>
          <w:szCs w:val="22"/>
          <w:lang w:eastAsia="fr-FR"/>
        </w:rPr>
      </w:pPr>
      <w:r>
        <w:rPr>
          <w:rFonts w:eastAsia="Times New Roman" w:cstheme="minorHAnsi"/>
          <w:sz w:val="22"/>
          <w:szCs w:val="22"/>
          <w:lang w:eastAsia="fr-FR"/>
        </w:rPr>
      </w:r>
      <w:r>
        <w:rPr>
          <w:rFonts w:eastAsia="Times New Roman" w:cstheme="minorHAnsi"/>
          <w:sz w:val="22"/>
          <w:szCs w:val="22"/>
          <w:lang w:eastAsia="fr-FR"/>
        </w:rPr>
      </w:r>
    </w:p>
    <w:sectPr>
      <w:footerReference w:type="default" r:id="rId9"/>
      <w:footnotePr/>
      <w:endnotePr/>
      <w:type w:val="nextPage"/>
      <w:pgSz w:h="16838" w:orient="portrait"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49486708"/>
      <w:docPartObj>
        <w:docPartGallery w:val="Page Numbers (Bottom of Page)"/>
        <w:docPartUnique w:val="true"/>
      </w:docPartObj>
      <w:rPr/>
    </w:sdtPr>
    <w:sdtContent>
      <w:p>
        <w:pPr>
          <w:pStyle w:val="804"/>
          <w:pBdr/>
          <w:spacing/>
          <w:ind/>
          <w:jc w:val="center"/>
          <w:rPr/>
        </w:pPr>
        <w:r>
          <w:fldChar w:fldCharType="begin"/>
        </w:r>
        <w:r>
          <w:instrText xml:space="preserve">PAGE   \* MERGEFORMAT</w:instrText>
        </w:r>
        <w:r>
          <w:fldChar w:fldCharType="separate"/>
        </w:r>
        <w:r>
          <w:rPr>
            <w:lang w:val="fr-FR"/>
          </w:rPr>
          <w:t xml:space="preserve">1</w:t>
        </w:r>
        <w:r>
          <w:fldChar w:fldCharType="end"/>
        </w:r>
        <w:r/>
      </w:p>
    </w:sdtContent>
  </w:sdt>
  <w:p>
    <w:pPr>
      <w:pStyle w:val="80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2D97"/>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nsid w:val="030C1F07"/>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nsid w:val="04E62480"/>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nsid w:val="06D54A53"/>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nsid w:val="074A497B"/>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
      <w:numFmt w:val="bullet"/>
      <w:pPr>
        <w:pBdr/>
        <w:spacing/>
        <w:ind w:hanging="360" w:left="1440"/>
      </w:pPr>
      <w:rPr>
        <w:rFonts w:hint="default" w:ascii="Wingdings" w:hAnsi="Wingdings" w:eastAsia="Times New Roman" w:cs="Times New Roman"/>
      </w:rPr>
      <w:start w:val="0"/>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nsid w:val="085F5C54"/>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nsid w:val="10925711"/>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nsid w:val="16015BE8"/>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nsid w:val="1A631060"/>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nsid w:val="1DC308FD"/>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nsid w:val="1DCD70CA"/>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nsid w:val="222A68E5"/>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nsid w:val="2330246C"/>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nsid w:val="31054A49"/>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nsid w:val="3D036198"/>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nsid w:val="3DCF7DFF"/>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nsid w:val="415B0424"/>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nsid w:val="44DB4C63"/>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nsid w:val="487D2668"/>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nsid w:val="4AE621C3"/>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nsid w:val="4E0A0902"/>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nsid w:val="4EB77D06"/>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nsid w:val="55AC7674"/>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nsid w:val="562624B0"/>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nsid w:val="57F93F63"/>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nsid w:val="5DC34A92"/>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nsid w:val="6424007A"/>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nsid w:val="65FA6DB6"/>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nsid w:val="693A32BA"/>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nsid w:val="6B777C75"/>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nsid w:val="735D0ECF"/>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nsid w:val="75504AE8"/>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nsid w:val="791021F9"/>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10"/>
  </w:num>
  <w:num w:numId="2">
    <w:abstractNumId w:val="0"/>
  </w:num>
  <w:num w:numId="3">
    <w:abstractNumId w:val="5"/>
  </w:num>
  <w:num w:numId="4">
    <w:abstractNumId w:val="12"/>
  </w:num>
  <w:num w:numId="5">
    <w:abstractNumId w:val="6"/>
  </w:num>
  <w:num w:numId="6">
    <w:abstractNumId w:val="1"/>
  </w:num>
  <w:num w:numId="7">
    <w:abstractNumId w:val="24"/>
  </w:num>
  <w:num w:numId="8">
    <w:abstractNumId w:val="20"/>
  </w:num>
  <w:num w:numId="9">
    <w:abstractNumId w:val="17"/>
  </w:num>
  <w:num w:numId="10">
    <w:abstractNumId w:val="9"/>
  </w:num>
  <w:num w:numId="11">
    <w:abstractNumId w:val="23"/>
  </w:num>
  <w:num w:numId="12">
    <w:abstractNumId w:val="26"/>
  </w:num>
  <w:num w:numId="13">
    <w:abstractNumId w:val="28"/>
  </w:num>
  <w:num w:numId="14">
    <w:abstractNumId w:val="16"/>
  </w:num>
  <w:num w:numId="15">
    <w:abstractNumId w:val="2"/>
  </w:num>
  <w:num w:numId="16">
    <w:abstractNumId w:val="25"/>
  </w:num>
  <w:num w:numId="17">
    <w:abstractNumId w:val="7"/>
  </w:num>
  <w:num w:numId="18">
    <w:abstractNumId w:val="22"/>
  </w:num>
  <w:num w:numId="19">
    <w:abstractNumId w:val="30"/>
  </w:num>
  <w:num w:numId="20">
    <w:abstractNumId w:val="3"/>
  </w:num>
  <w:num w:numId="21">
    <w:abstractNumId w:val="32"/>
  </w:num>
  <w:num w:numId="22">
    <w:abstractNumId w:val="13"/>
  </w:num>
  <w:num w:numId="23">
    <w:abstractNumId w:val="29"/>
  </w:num>
  <w:num w:numId="24">
    <w:abstractNumId w:val="4"/>
  </w:num>
  <w:num w:numId="25">
    <w:abstractNumId w:val="14"/>
  </w:num>
  <w:num w:numId="26">
    <w:abstractNumId w:val="31"/>
  </w:num>
  <w:num w:numId="27">
    <w:abstractNumId w:val="19"/>
  </w:num>
  <w:num w:numId="28">
    <w:abstractNumId w:val="21"/>
  </w:num>
  <w:num w:numId="29">
    <w:abstractNumId w:val="11"/>
  </w:num>
  <w:num w:numId="30">
    <w:abstractNumId w:val="27"/>
  </w:num>
  <w:num w:numId="31">
    <w:abstractNumId w:val="18"/>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7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7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7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7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7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7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2"/>
    <w:basedOn w:val="790"/>
    <w:next w:val="790"/>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790"/>
    <w:next w:val="790"/>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790"/>
    <w:next w:val="790"/>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790"/>
    <w:next w:val="790"/>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790"/>
    <w:next w:val="790"/>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790"/>
    <w:next w:val="790"/>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90"/>
    <w:next w:val="790"/>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90"/>
    <w:next w:val="790"/>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792"/>
    <w:link w:val="791"/>
    <w:uiPriority w:val="9"/>
    <w:pPr>
      <w:pBdr/>
      <w:spacing/>
      <w:ind/>
    </w:pPr>
    <w:rPr>
      <w:rFonts w:ascii="Arial" w:hAnsi="Arial" w:eastAsia="Arial" w:cs="Arial"/>
      <w:color w:val="0f4761" w:themeColor="accent1" w:themeShade="BF"/>
      <w:sz w:val="40"/>
      <w:szCs w:val="40"/>
    </w:rPr>
  </w:style>
  <w:style w:type="character" w:styleId="151">
    <w:name w:val="Heading 2 Char"/>
    <w:basedOn w:val="792"/>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792"/>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792"/>
    <w:link w:val="142"/>
    <w:uiPriority w:val="9"/>
    <w:pPr>
      <w:pBdr/>
      <w:spacing/>
      <w:ind/>
    </w:pPr>
    <w:rPr>
      <w:rFonts w:ascii="Arial" w:hAnsi="Arial" w:eastAsia="Arial" w:cs="Arial"/>
      <w:i/>
      <w:iCs/>
      <w:color w:val="0f4761" w:themeColor="accent1" w:themeShade="BF"/>
    </w:rPr>
  </w:style>
  <w:style w:type="character" w:styleId="154">
    <w:name w:val="Heading 5 Char"/>
    <w:basedOn w:val="792"/>
    <w:link w:val="143"/>
    <w:uiPriority w:val="9"/>
    <w:pPr>
      <w:pBdr/>
      <w:spacing/>
      <w:ind/>
    </w:pPr>
    <w:rPr>
      <w:rFonts w:ascii="Arial" w:hAnsi="Arial" w:eastAsia="Arial" w:cs="Arial"/>
      <w:color w:val="0f4761" w:themeColor="accent1" w:themeShade="BF"/>
    </w:rPr>
  </w:style>
  <w:style w:type="character" w:styleId="155">
    <w:name w:val="Heading 6 Char"/>
    <w:basedOn w:val="792"/>
    <w:link w:val="144"/>
    <w:uiPriority w:val="9"/>
    <w:pPr>
      <w:pBdr/>
      <w:spacing/>
      <w:ind/>
    </w:pPr>
    <w:rPr>
      <w:rFonts w:ascii="Arial" w:hAnsi="Arial" w:eastAsia="Arial" w:cs="Arial"/>
      <w:i/>
      <w:iCs/>
      <w:color w:val="595959" w:themeColor="text1" w:themeTint="A6"/>
    </w:rPr>
  </w:style>
  <w:style w:type="character" w:styleId="156">
    <w:name w:val="Heading 7 Char"/>
    <w:basedOn w:val="792"/>
    <w:link w:val="145"/>
    <w:uiPriority w:val="9"/>
    <w:pPr>
      <w:pBdr/>
      <w:spacing/>
      <w:ind/>
    </w:pPr>
    <w:rPr>
      <w:rFonts w:ascii="Arial" w:hAnsi="Arial" w:eastAsia="Arial" w:cs="Arial"/>
      <w:color w:val="595959" w:themeColor="text1" w:themeTint="A6"/>
    </w:rPr>
  </w:style>
  <w:style w:type="character" w:styleId="157">
    <w:name w:val="Heading 8 Char"/>
    <w:basedOn w:val="792"/>
    <w:link w:val="146"/>
    <w:uiPriority w:val="9"/>
    <w:pPr>
      <w:pBdr/>
      <w:spacing/>
      <w:ind/>
    </w:pPr>
    <w:rPr>
      <w:rFonts w:ascii="Arial" w:hAnsi="Arial" w:eastAsia="Arial" w:cs="Arial"/>
      <w:i/>
      <w:iCs/>
      <w:color w:val="272727" w:themeColor="text1" w:themeTint="D8"/>
    </w:rPr>
  </w:style>
  <w:style w:type="character" w:styleId="158">
    <w:name w:val="Heading 9 Char"/>
    <w:basedOn w:val="792"/>
    <w:link w:val="147"/>
    <w:uiPriority w:val="9"/>
    <w:pPr>
      <w:pBdr/>
      <w:spacing/>
      <w:ind/>
    </w:pPr>
    <w:rPr>
      <w:rFonts w:ascii="Arial" w:hAnsi="Arial" w:eastAsia="Arial" w:cs="Arial"/>
      <w:i/>
      <w:iCs/>
      <w:color w:val="272727" w:themeColor="text1" w:themeTint="D8"/>
    </w:rPr>
  </w:style>
  <w:style w:type="character" w:styleId="160">
    <w:name w:val="Title Char"/>
    <w:basedOn w:val="792"/>
    <w:link w:val="798"/>
    <w:uiPriority w:val="10"/>
    <w:pPr>
      <w:pBdr/>
      <w:spacing/>
      <w:ind/>
    </w:pPr>
    <w:rPr>
      <w:rFonts w:ascii="Arial" w:hAnsi="Arial" w:eastAsia="Arial" w:cs="Arial"/>
      <w:spacing w:val="-10"/>
      <w:sz w:val="56"/>
      <w:szCs w:val="56"/>
    </w:rPr>
  </w:style>
  <w:style w:type="paragraph" w:styleId="161">
    <w:name w:val="Subtitle"/>
    <w:basedOn w:val="790"/>
    <w:next w:val="790"/>
    <w:link w:val="162"/>
    <w:uiPriority w:val="11"/>
    <w:qFormat/>
    <w:pPr>
      <w:numPr>
        <w:ilvl w:val="1"/>
      </w:numPr>
      <w:pBdr/>
      <w:spacing/>
      <w:ind/>
    </w:pPr>
    <w:rPr>
      <w:color w:val="595959" w:themeColor="text1" w:themeTint="A6"/>
      <w:spacing w:val="15"/>
      <w:sz w:val="28"/>
      <w:szCs w:val="28"/>
    </w:rPr>
  </w:style>
  <w:style w:type="character" w:styleId="162">
    <w:name w:val="Subtitle Char"/>
    <w:basedOn w:val="792"/>
    <w:link w:val="161"/>
    <w:uiPriority w:val="11"/>
    <w:pPr>
      <w:pBdr/>
      <w:spacing/>
      <w:ind/>
    </w:pPr>
    <w:rPr>
      <w:color w:val="595959" w:themeColor="text1" w:themeTint="A6"/>
      <w:spacing w:val="15"/>
      <w:sz w:val="28"/>
      <w:szCs w:val="28"/>
    </w:rPr>
  </w:style>
  <w:style w:type="paragraph" w:styleId="163">
    <w:name w:val="Quote"/>
    <w:basedOn w:val="790"/>
    <w:next w:val="790"/>
    <w:link w:val="164"/>
    <w:uiPriority w:val="29"/>
    <w:qFormat/>
    <w:pPr>
      <w:pBdr/>
      <w:spacing w:before="160"/>
      <w:ind/>
      <w:jc w:val="center"/>
    </w:pPr>
    <w:rPr>
      <w:i/>
      <w:iCs/>
      <w:color w:val="404040" w:themeColor="text1" w:themeTint="BF"/>
    </w:rPr>
  </w:style>
  <w:style w:type="character" w:styleId="164">
    <w:name w:val="Quote Char"/>
    <w:basedOn w:val="792"/>
    <w:link w:val="163"/>
    <w:uiPriority w:val="29"/>
    <w:pPr>
      <w:pBdr/>
      <w:spacing/>
      <w:ind/>
    </w:pPr>
    <w:rPr>
      <w:i/>
      <w:iCs/>
      <w:color w:val="404040" w:themeColor="text1" w:themeTint="BF"/>
    </w:rPr>
  </w:style>
  <w:style w:type="character" w:styleId="166">
    <w:name w:val="Intense Emphasis"/>
    <w:basedOn w:val="792"/>
    <w:uiPriority w:val="21"/>
    <w:qFormat/>
    <w:pPr>
      <w:pBdr/>
      <w:spacing/>
      <w:ind/>
    </w:pPr>
    <w:rPr>
      <w:i/>
      <w:iCs/>
      <w:color w:val="0f4761" w:themeColor="accent1" w:themeShade="BF"/>
    </w:rPr>
  </w:style>
  <w:style w:type="paragraph" w:styleId="167">
    <w:name w:val="Intense Quote"/>
    <w:basedOn w:val="790"/>
    <w:next w:val="790"/>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92"/>
    <w:link w:val="167"/>
    <w:uiPriority w:val="30"/>
    <w:pPr>
      <w:pBdr/>
      <w:spacing/>
      <w:ind/>
    </w:pPr>
    <w:rPr>
      <w:i/>
      <w:iCs/>
      <w:color w:val="0f4761" w:themeColor="accent1" w:themeShade="BF"/>
    </w:rPr>
  </w:style>
  <w:style w:type="character" w:styleId="169">
    <w:name w:val="Intense Reference"/>
    <w:basedOn w:val="792"/>
    <w:uiPriority w:val="32"/>
    <w:qFormat/>
    <w:pPr>
      <w:pBdr/>
      <w:spacing/>
      <w:ind/>
    </w:pPr>
    <w:rPr>
      <w:b/>
      <w:bCs/>
      <w:smallCaps/>
      <w:color w:val="0f4761" w:themeColor="accent1" w:themeShade="BF"/>
      <w:spacing w:val="5"/>
    </w:rPr>
  </w:style>
  <w:style w:type="paragraph" w:styleId="170">
    <w:name w:val="No Spacing"/>
    <w:basedOn w:val="790"/>
    <w:uiPriority w:val="1"/>
    <w:qFormat/>
    <w:pPr>
      <w:pBdr/>
      <w:spacing w:after="0" w:line="240" w:lineRule="auto"/>
      <w:ind/>
    </w:pPr>
  </w:style>
  <w:style w:type="character" w:styleId="171">
    <w:name w:val="Subtle Emphasis"/>
    <w:basedOn w:val="792"/>
    <w:uiPriority w:val="19"/>
    <w:qFormat/>
    <w:pPr>
      <w:pBdr/>
      <w:spacing/>
      <w:ind/>
    </w:pPr>
    <w:rPr>
      <w:i/>
      <w:iCs/>
      <w:color w:val="404040" w:themeColor="text1" w:themeTint="BF"/>
    </w:rPr>
  </w:style>
  <w:style w:type="character" w:styleId="174">
    <w:name w:val="Subtle Reference"/>
    <w:basedOn w:val="792"/>
    <w:uiPriority w:val="31"/>
    <w:qFormat/>
    <w:pPr>
      <w:pBdr/>
      <w:spacing/>
      <w:ind/>
    </w:pPr>
    <w:rPr>
      <w:smallCaps/>
      <w:color w:val="5a5a5a" w:themeColor="text1" w:themeTint="A5"/>
    </w:rPr>
  </w:style>
  <w:style w:type="character" w:styleId="175">
    <w:name w:val="Book Title"/>
    <w:basedOn w:val="792"/>
    <w:uiPriority w:val="33"/>
    <w:qFormat/>
    <w:pPr>
      <w:pBdr/>
      <w:spacing/>
      <w:ind/>
    </w:pPr>
    <w:rPr>
      <w:b/>
      <w:bCs/>
      <w:i/>
      <w:iCs/>
      <w:spacing w:val="5"/>
    </w:rPr>
  </w:style>
  <w:style w:type="character" w:styleId="177">
    <w:name w:val="Header Char"/>
    <w:basedOn w:val="792"/>
    <w:link w:val="802"/>
    <w:uiPriority w:val="99"/>
    <w:pPr>
      <w:pBdr/>
      <w:spacing/>
      <w:ind/>
    </w:pPr>
  </w:style>
  <w:style w:type="character" w:styleId="179">
    <w:name w:val="Footer Char"/>
    <w:basedOn w:val="792"/>
    <w:link w:val="804"/>
    <w:uiPriority w:val="99"/>
    <w:pPr>
      <w:pBdr/>
      <w:spacing/>
      <w:ind/>
    </w:pPr>
  </w:style>
  <w:style w:type="paragraph" w:styleId="180">
    <w:name w:val="Caption"/>
    <w:basedOn w:val="790"/>
    <w:next w:val="790"/>
    <w:uiPriority w:val="35"/>
    <w:unhideWhenUsed/>
    <w:qFormat/>
    <w:pPr>
      <w:pBdr/>
      <w:spacing w:after="200" w:line="240" w:lineRule="auto"/>
      <w:ind/>
    </w:pPr>
    <w:rPr>
      <w:i/>
      <w:iCs/>
      <w:color w:val="0e2841" w:themeColor="text2"/>
      <w:sz w:val="18"/>
      <w:szCs w:val="18"/>
    </w:rPr>
  </w:style>
  <w:style w:type="paragraph" w:styleId="181">
    <w:name w:val="footnote text"/>
    <w:basedOn w:val="790"/>
    <w:link w:val="182"/>
    <w:uiPriority w:val="99"/>
    <w:semiHidden/>
    <w:unhideWhenUsed/>
    <w:pPr>
      <w:pBdr/>
      <w:spacing w:after="0" w:line="240" w:lineRule="auto"/>
      <w:ind/>
    </w:pPr>
    <w:rPr>
      <w:sz w:val="20"/>
      <w:szCs w:val="20"/>
    </w:rPr>
  </w:style>
  <w:style w:type="character" w:styleId="182">
    <w:name w:val="Footnote Text Char"/>
    <w:basedOn w:val="792"/>
    <w:link w:val="181"/>
    <w:uiPriority w:val="99"/>
    <w:semiHidden/>
    <w:pPr>
      <w:pBdr/>
      <w:spacing/>
      <w:ind/>
    </w:pPr>
    <w:rPr>
      <w:sz w:val="20"/>
      <w:szCs w:val="20"/>
    </w:rPr>
  </w:style>
  <w:style w:type="character" w:styleId="183">
    <w:name w:val="footnote reference"/>
    <w:basedOn w:val="792"/>
    <w:uiPriority w:val="99"/>
    <w:semiHidden/>
    <w:unhideWhenUsed/>
    <w:pPr>
      <w:pBdr/>
      <w:spacing/>
      <w:ind/>
    </w:pPr>
    <w:rPr>
      <w:vertAlign w:val="superscript"/>
    </w:rPr>
  </w:style>
  <w:style w:type="paragraph" w:styleId="184">
    <w:name w:val="endnote text"/>
    <w:basedOn w:val="790"/>
    <w:link w:val="185"/>
    <w:uiPriority w:val="99"/>
    <w:semiHidden/>
    <w:unhideWhenUsed/>
    <w:pPr>
      <w:pBdr/>
      <w:spacing w:after="0" w:line="240" w:lineRule="auto"/>
      <w:ind/>
    </w:pPr>
    <w:rPr>
      <w:sz w:val="20"/>
      <w:szCs w:val="20"/>
    </w:rPr>
  </w:style>
  <w:style w:type="character" w:styleId="185">
    <w:name w:val="Endnote Text Char"/>
    <w:basedOn w:val="792"/>
    <w:link w:val="184"/>
    <w:uiPriority w:val="99"/>
    <w:semiHidden/>
    <w:pPr>
      <w:pBdr/>
      <w:spacing/>
      <w:ind/>
    </w:pPr>
    <w:rPr>
      <w:sz w:val="20"/>
      <w:szCs w:val="20"/>
    </w:rPr>
  </w:style>
  <w:style w:type="character" w:styleId="186">
    <w:name w:val="endnote reference"/>
    <w:basedOn w:val="792"/>
    <w:uiPriority w:val="99"/>
    <w:semiHidden/>
    <w:unhideWhenUsed/>
    <w:pPr>
      <w:pBdr/>
      <w:spacing/>
      <w:ind/>
    </w:pPr>
    <w:rPr>
      <w:vertAlign w:val="superscript"/>
    </w:rPr>
  </w:style>
  <w:style w:type="character" w:styleId="188">
    <w:name w:val="FollowedHyperlink"/>
    <w:basedOn w:val="792"/>
    <w:uiPriority w:val="99"/>
    <w:semiHidden/>
    <w:unhideWhenUsed/>
    <w:pPr>
      <w:pBdr/>
      <w:spacing/>
      <w:ind/>
    </w:pPr>
    <w:rPr>
      <w:color w:val="954f72" w:themeColor="followedHyperlink"/>
      <w:u w:val="single"/>
    </w:rPr>
  </w:style>
  <w:style w:type="paragraph" w:styleId="190">
    <w:name w:val="toc 2"/>
    <w:basedOn w:val="790"/>
    <w:next w:val="790"/>
    <w:uiPriority w:val="39"/>
    <w:unhideWhenUsed/>
    <w:pPr>
      <w:pBdr/>
      <w:spacing w:after="100"/>
      <w:ind w:left="220"/>
    </w:pPr>
  </w:style>
  <w:style w:type="paragraph" w:styleId="191">
    <w:name w:val="toc 3"/>
    <w:basedOn w:val="790"/>
    <w:next w:val="790"/>
    <w:uiPriority w:val="39"/>
    <w:unhideWhenUsed/>
    <w:pPr>
      <w:pBdr/>
      <w:spacing w:after="100"/>
      <w:ind w:left="440"/>
    </w:pPr>
  </w:style>
  <w:style w:type="paragraph" w:styleId="192">
    <w:name w:val="toc 4"/>
    <w:basedOn w:val="790"/>
    <w:next w:val="790"/>
    <w:uiPriority w:val="39"/>
    <w:unhideWhenUsed/>
    <w:pPr>
      <w:pBdr/>
      <w:spacing w:after="100"/>
      <w:ind w:left="660"/>
    </w:pPr>
  </w:style>
  <w:style w:type="paragraph" w:styleId="193">
    <w:name w:val="toc 5"/>
    <w:basedOn w:val="790"/>
    <w:next w:val="790"/>
    <w:uiPriority w:val="39"/>
    <w:unhideWhenUsed/>
    <w:pPr>
      <w:pBdr/>
      <w:spacing w:after="100"/>
      <w:ind w:left="880"/>
    </w:pPr>
  </w:style>
  <w:style w:type="paragraph" w:styleId="194">
    <w:name w:val="toc 6"/>
    <w:basedOn w:val="790"/>
    <w:next w:val="790"/>
    <w:uiPriority w:val="39"/>
    <w:unhideWhenUsed/>
    <w:pPr>
      <w:pBdr/>
      <w:spacing w:after="100"/>
      <w:ind w:left="1100"/>
    </w:pPr>
  </w:style>
  <w:style w:type="paragraph" w:styleId="195">
    <w:name w:val="toc 7"/>
    <w:basedOn w:val="790"/>
    <w:next w:val="790"/>
    <w:uiPriority w:val="39"/>
    <w:unhideWhenUsed/>
    <w:pPr>
      <w:pBdr/>
      <w:spacing w:after="100"/>
      <w:ind w:left="1320"/>
    </w:pPr>
  </w:style>
  <w:style w:type="paragraph" w:styleId="196">
    <w:name w:val="toc 8"/>
    <w:basedOn w:val="790"/>
    <w:next w:val="790"/>
    <w:uiPriority w:val="39"/>
    <w:unhideWhenUsed/>
    <w:pPr>
      <w:pBdr/>
      <w:spacing w:after="100"/>
      <w:ind w:left="1540"/>
    </w:pPr>
  </w:style>
  <w:style w:type="paragraph" w:styleId="197">
    <w:name w:val="toc 9"/>
    <w:basedOn w:val="790"/>
    <w:next w:val="790"/>
    <w:uiPriority w:val="39"/>
    <w:unhideWhenUsed/>
    <w:pPr>
      <w:pBdr/>
      <w:spacing w:after="100"/>
      <w:ind w:left="1760"/>
    </w:pPr>
  </w:style>
  <w:style w:type="character" w:styleId="198">
    <w:name w:val="Placeholder Text"/>
    <w:basedOn w:val="792"/>
    <w:uiPriority w:val="99"/>
    <w:semiHidden/>
    <w:pPr>
      <w:pBdr/>
      <w:spacing/>
      <w:ind/>
    </w:pPr>
    <w:rPr>
      <w:color w:val="666666"/>
    </w:rPr>
  </w:style>
  <w:style w:type="paragraph" w:styleId="209">
    <w:name w:val="table of figures"/>
    <w:basedOn w:val="790"/>
    <w:next w:val="790"/>
    <w:uiPriority w:val="99"/>
    <w:unhideWhenUsed/>
    <w:pPr>
      <w:pBdr/>
      <w:spacing w:after="0" w:afterAutospacing="0"/>
      <w:ind/>
    </w:pPr>
  </w:style>
  <w:style w:type="paragraph" w:styleId="790" w:default="1">
    <w:name w:val="Normal"/>
    <w:qFormat/>
    <w:pPr>
      <w:pBdr/>
      <w:spacing w:after="200" w:line="276" w:lineRule="auto"/>
      <w:ind/>
      <w:jc w:val="both"/>
    </w:pPr>
    <w:rPr>
      <w:rFonts w:eastAsiaTheme="minorEastAsia"/>
      <w:sz w:val="20"/>
      <w:szCs w:val="20"/>
      <w:lang w:val="en-US"/>
    </w:rPr>
  </w:style>
  <w:style w:type="paragraph" w:styleId="791">
    <w:name w:val="Heading 1"/>
    <w:basedOn w:val="790"/>
    <w:next w:val="790"/>
    <w:link w:val="808"/>
    <w:uiPriority w:val="9"/>
    <w:qFormat/>
    <w:pPr>
      <w:keepNext w:val="true"/>
      <w:keepLines w:val="true"/>
      <w:pBdr/>
      <w:spacing w:after="0" w:before="240"/>
      <w:ind/>
      <w:outlineLvl w:val="0"/>
    </w:pPr>
    <w:rPr>
      <w:rFonts w:asciiTheme="majorHAnsi" w:hAnsiTheme="majorHAnsi" w:eastAsiaTheme="majorEastAsia" w:cstheme="majorBidi"/>
      <w:sz w:val="36"/>
      <w:szCs w:val="36"/>
    </w:rPr>
  </w:style>
  <w:style w:type="character" w:styleId="792" w:default="1">
    <w:name w:val="Default Paragraph Font"/>
    <w:uiPriority w:val="1"/>
    <w:semiHidden/>
    <w:unhideWhenUsed/>
    <w:pPr>
      <w:pBdr/>
      <w:spacing/>
      <w:ind/>
    </w:pPr>
  </w:style>
  <w:style w:type="table" w:styleId="79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4" w:default="1">
    <w:name w:val="No List"/>
    <w:uiPriority w:val="99"/>
    <w:semiHidden/>
    <w:unhideWhenUsed/>
    <w:pPr>
      <w:pBdr/>
      <w:spacing/>
      <w:ind/>
    </w:pPr>
  </w:style>
  <w:style w:type="character" w:styleId="795">
    <w:name w:val="Hyperlink"/>
    <w:basedOn w:val="792"/>
    <w:uiPriority w:val="99"/>
    <w:unhideWhenUsed/>
    <w:pPr>
      <w:pBdr/>
      <w:spacing/>
      <w:ind/>
    </w:pPr>
    <w:rPr>
      <w:color w:val="0563c1" w:themeColor="hyperlink"/>
      <w:u w:val="single"/>
    </w:rPr>
  </w:style>
  <w:style w:type="character" w:styleId="796">
    <w:name w:val="Emphasis"/>
    <w:uiPriority w:val="20"/>
    <w:qFormat/>
    <w:pPr>
      <w:pBdr/>
      <w:spacing/>
      <w:ind/>
    </w:pPr>
    <w:rPr>
      <w:b/>
      <w:bCs/>
      <w:i/>
      <w:iCs/>
      <w:spacing w:val="10"/>
    </w:rPr>
  </w:style>
  <w:style w:type="paragraph" w:styleId="797">
    <w:name w:val="Normal (Web)"/>
    <w:basedOn w:val="790"/>
    <w:uiPriority w:val="99"/>
    <w:unhideWhenUsed/>
    <w:pPr>
      <w:pBdr/>
      <w:spacing w:after="100" w:afterAutospacing="1" w:before="100" w:beforeAutospacing="1" w:line="240" w:lineRule="auto"/>
      <w:ind/>
      <w:jc w:val="left"/>
    </w:pPr>
    <w:rPr>
      <w:rFonts w:ascii="Times New Roman" w:hAnsi="Times New Roman" w:eastAsia="Times New Roman" w:cs="Times New Roman"/>
      <w:sz w:val="24"/>
      <w:szCs w:val="24"/>
      <w:lang w:val="fr-FR" w:eastAsia="fr-FR"/>
    </w:rPr>
  </w:style>
  <w:style w:type="paragraph" w:styleId="798">
    <w:name w:val="Title"/>
    <w:basedOn w:val="790"/>
    <w:next w:val="790"/>
    <w:link w:val="799"/>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799" w:customStyle="1">
    <w:name w:val="Titre Car"/>
    <w:basedOn w:val="792"/>
    <w:link w:val="798"/>
    <w:uiPriority w:val="10"/>
    <w:pPr>
      <w:pBdr/>
      <w:spacing/>
      <w:ind/>
    </w:pPr>
    <w:rPr>
      <w:rFonts w:asciiTheme="majorHAnsi" w:hAnsiTheme="majorHAnsi" w:eastAsiaTheme="majorEastAsia" w:cstheme="majorBidi"/>
      <w:spacing w:val="-10"/>
      <w:sz w:val="56"/>
      <w:szCs w:val="56"/>
      <w:lang w:val="en-US"/>
    </w:rPr>
  </w:style>
  <w:style w:type="character" w:styleId="800">
    <w:name w:val="Strong"/>
    <w:basedOn w:val="792"/>
    <w:uiPriority w:val="22"/>
    <w:qFormat/>
    <w:pPr>
      <w:pBdr/>
      <w:spacing/>
      <w:ind/>
    </w:pPr>
    <w:rPr>
      <w:b/>
      <w:bCs/>
    </w:rPr>
  </w:style>
  <w:style w:type="paragraph" w:styleId="801">
    <w:name w:val="List Paragraph"/>
    <w:basedOn w:val="790"/>
    <w:uiPriority w:val="34"/>
    <w:qFormat/>
    <w:pPr>
      <w:pBdr/>
      <w:spacing/>
      <w:ind w:left="720"/>
      <w:contextualSpacing w:val="true"/>
    </w:pPr>
  </w:style>
  <w:style w:type="paragraph" w:styleId="802">
    <w:name w:val="Header"/>
    <w:basedOn w:val="790"/>
    <w:link w:val="803"/>
    <w:uiPriority w:val="99"/>
    <w:unhideWhenUsed/>
    <w:pPr>
      <w:pBdr/>
      <w:tabs>
        <w:tab w:val="center" w:leader="none" w:pos="4536"/>
        <w:tab w:val="right" w:leader="none" w:pos="9072"/>
      </w:tabs>
      <w:spacing w:after="0" w:line="240" w:lineRule="auto"/>
      <w:ind/>
    </w:pPr>
  </w:style>
  <w:style w:type="character" w:styleId="803" w:customStyle="1">
    <w:name w:val="En-tête Car"/>
    <w:basedOn w:val="792"/>
    <w:link w:val="802"/>
    <w:uiPriority w:val="99"/>
    <w:pPr>
      <w:pBdr/>
      <w:spacing/>
      <w:ind/>
    </w:pPr>
    <w:rPr>
      <w:rFonts w:eastAsiaTheme="minorEastAsia"/>
      <w:sz w:val="20"/>
      <w:szCs w:val="20"/>
      <w:lang w:val="en-US"/>
    </w:rPr>
  </w:style>
  <w:style w:type="paragraph" w:styleId="804">
    <w:name w:val="Footer"/>
    <w:basedOn w:val="790"/>
    <w:link w:val="805"/>
    <w:uiPriority w:val="99"/>
    <w:unhideWhenUsed/>
    <w:pPr>
      <w:pBdr/>
      <w:tabs>
        <w:tab w:val="center" w:leader="none" w:pos="4536"/>
        <w:tab w:val="right" w:leader="none" w:pos="9072"/>
      </w:tabs>
      <w:spacing w:after="0" w:line="240" w:lineRule="auto"/>
      <w:ind/>
    </w:pPr>
  </w:style>
  <w:style w:type="character" w:styleId="805" w:customStyle="1">
    <w:name w:val="Pied de page Car"/>
    <w:basedOn w:val="792"/>
    <w:link w:val="804"/>
    <w:uiPriority w:val="99"/>
    <w:pPr>
      <w:pBdr/>
      <w:spacing/>
      <w:ind/>
    </w:pPr>
    <w:rPr>
      <w:rFonts w:eastAsiaTheme="minorEastAsia"/>
      <w:sz w:val="20"/>
      <w:szCs w:val="20"/>
      <w:lang w:val="en-US"/>
    </w:rPr>
  </w:style>
  <w:style w:type="table" w:styleId="806">
    <w:name w:val="Table Grid"/>
    <w:basedOn w:val="79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2"/>
    <w:basedOn w:val="793"/>
    <w:uiPriority w:val="42"/>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pPr>
        <w:pBdr/>
        <w:spacing/>
        <w:ind/>
      </w:pPr>
      <w:tblPr>
        <w:tblBorders/>
      </w:tblPr>
      <w:tcPr>
        <w:tcBorders>
          <w:top w:val="single" w:color="7f7f7f" w:themeColor="text1" w:themeTint="80" w:sz="4" w:space="0"/>
          <w:bottom w:val="single" w:color="7f7f7f" w:themeColor="text1" w:themeTint="80" w:sz="4" w:space="0"/>
        </w:tcBorders>
      </w:tcPr>
    </w:tblStylePr>
    <w:tblStylePr w:type="band1Vert">
      <w:pPr>
        <w:pBdr/>
        <w:spacing/>
        <w:ind/>
      </w:pPr>
      <w:tblPr>
        <w:tblBorders/>
      </w:tblPr>
      <w:tcPr>
        <w:tcBorders>
          <w:left w:val="single" w:color="7f7f7f" w:themeColor="text1" w:themeTint="80" w:sz="4" w:space="0"/>
          <w:right w:val="single" w:color="7f7f7f" w:themeColor="text1" w:themeTint="80"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7f7f7f" w:themeColor="text1" w:themeTint="80" w:sz="4" w:space="0"/>
          <w:right w:val="single" w:color="7f7f7f" w:themeColor="text1" w:themeTint="80" w:sz="4" w:space="0"/>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7f7f7f" w:themeColor="text1" w:themeTint="80"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08" w:customStyle="1">
    <w:name w:val="Titre 1 Car"/>
    <w:basedOn w:val="792"/>
    <w:link w:val="791"/>
    <w:uiPriority w:val="9"/>
    <w:pPr>
      <w:pBdr/>
      <w:spacing/>
      <w:ind/>
    </w:pPr>
    <w:rPr>
      <w:rFonts w:asciiTheme="majorHAnsi" w:hAnsiTheme="majorHAnsi" w:eastAsiaTheme="majorEastAsia" w:cstheme="majorBidi"/>
      <w:sz w:val="36"/>
      <w:szCs w:val="36"/>
      <w:lang w:val="en-US"/>
    </w:rPr>
  </w:style>
  <w:style w:type="paragraph" w:styleId="809">
    <w:name w:val="TOC Heading"/>
    <w:basedOn w:val="791"/>
    <w:next w:val="790"/>
    <w:uiPriority w:val="39"/>
    <w:unhideWhenUsed/>
    <w:qFormat/>
    <w:pPr>
      <w:pBdr/>
      <w:spacing w:line="259" w:lineRule="auto"/>
      <w:ind/>
      <w:jc w:val="left"/>
      <w:outlineLvl w:val="9"/>
    </w:pPr>
    <w:rPr>
      <w:lang w:val="fr-FR" w:eastAsia="fr-FR"/>
    </w:rPr>
  </w:style>
  <w:style w:type="paragraph" w:styleId="810">
    <w:name w:val="toc 1"/>
    <w:basedOn w:val="790"/>
    <w:next w:val="790"/>
    <w:uiPriority w:val="39"/>
    <w:unhideWhenUsed/>
    <w:pPr>
      <w:pBdr/>
      <w:spacing w:after="10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paul.robineau@iphc.cnrs.fr" TargetMode="External"/><Relationship Id="rId12" Type="http://schemas.openxmlformats.org/officeDocument/2006/relationships/hyperlink" Target="https://orcid.org/0000-0002-2198-3689" TargetMode="External"/><Relationship Id="rId13" Type="http://schemas.openxmlformats.org/officeDocument/2006/relationships/hyperlink" Target="mailto:muhamad_naqib.md_salim@h-ka.de" TargetMode="External"/><Relationship Id="rId14" Type="http://schemas.openxmlformats.org/officeDocument/2006/relationships/hyperlink" Target="mailto:maria.boltoeva@iphc.cnrs.fr" TargetMode="External"/><Relationship Id="rId15" Type="http://schemas.openxmlformats.org/officeDocument/2006/relationships/hyperlink" Target="https://orcid.org/0000-0002-0330-8153" TargetMode="External"/><Relationship Id="rId16" Type="http://schemas.openxmlformats.org/officeDocument/2006/relationships/hyperlink" Target="mailto:maurice.kettner@h-ka.de" TargetMode="External"/><Relationship Id="rId17" Type="http://schemas.openxmlformats.org/officeDocument/2006/relationships/hyperlink" Target="https://orcid.org/0000-0001-6718-6119" TargetMode="External"/><Relationship Id="rId18" Type="http://schemas.openxmlformats.org/officeDocument/2006/relationships/hyperlink" Target="mailto:nicolas.arbor@iphc.cnrs.fr" TargetMode="External"/><Relationship Id="rId19" Type="http://schemas.openxmlformats.org/officeDocument/2006/relationships/hyperlink" Target="https://orcid.org/0000-0001-6457-1767" TargetMode="External"/><Relationship Id="rId20" Type="http://schemas.openxmlformats.org/officeDocument/2006/relationships/hyperlink" Target="mailto:quaranta@unistra.fr" TargetMode="External"/><Relationship Id="rId21" Type="http://schemas.openxmlformats.org/officeDocument/2006/relationships/hyperlink" Target="https://orcid.org/0000-0003-4867-003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4A747-C3EA-4E30-A533-1822C680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IPHC IN2P3</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robineau</dc:creator>
  <cp:keywords/>
  <dc:description/>
  <cp:revision>246</cp:revision>
  <dcterms:created xsi:type="dcterms:W3CDTF">2025-06-18T14:30:00Z</dcterms:created>
  <dcterms:modified xsi:type="dcterms:W3CDTF">2025-08-29T12:41:20Z</dcterms:modified>
</cp:coreProperties>
</file>