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C9" w:rsidRDefault="004005EA" w:rsidP="004005EA">
      <w:pPr>
        <w:pStyle w:val="Title"/>
      </w:pPr>
      <w:r>
        <w:rPr>
          <w:rFonts w:hint="eastAsia"/>
        </w:rPr>
        <w:t>Ana</w:t>
      </w:r>
      <w:r>
        <w:t>lytics Reflection from the Perspectives of an Office REIT Manager</w:t>
      </w:r>
    </w:p>
    <w:p w:rsidR="004005EA" w:rsidRDefault="004005EA" w:rsidP="004005EA">
      <w:pPr>
        <w:pStyle w:val="Heading1"/>
      </w:pPr>
      <w:r>
        <w:t>Introduction</w:t>
      </w:r>
    </w:p>
    <w:p w:rsidR="0096191F" w:rsidRDefault="004005EA" w:rsidP="004005EA">
      <w:pPr>
        <w:spacing w:line="480" w:lineRule="auto"/>
      </w:pPr>
      <w:r>
        <w:t xml:space="preserve">I work for a Manager of an office REIT for the last 6 years. A small team of 8 people manages an office REIT listed in HK Stock Exchange (1426.HK) with a market capitalization of c.USD500 </w:t>
      </w:r>
      <w:proofErr w:type="spellStart"/>
      <w:r>
        <w:t>mn</w:t>
      </w:r>
      <w:proofErr w:type="spellEnd"/>
      <w:r>
        <w:t>. The asset base is predominately two office buildings in Beijing (aside from investment in UK, accounts for only c.7% of the asset).</w:t>
      </w:r>
      <w:r w:rsidR="00FE4E5E">
        <w:t xml:space="preserve"> </w:t>
      </w:r>
    </w:p>
    <w:p w:rsidR="004005EA" w:rsidRDefault="00D47509" w:rsidP="004005EA">
      <w:pPr>
        <w:spacing w:line="480" w:lineRule="auto"/>
      </w:pPr>
      <w:r>
        <w:t xml:space="preserve">Currently analytics is not playing a crucial role in my company, mainly for reporting and contribute little </w:t>
      </w:r>
      <w:r w:rsidR="0096191F">
        <w:t>to risk management and yield no insights to improve operational performance. While the DELTA Framework characterized the overall assessment to be that of localized analytics, a critical look at the overall operations could easily fall to the impaired category.</w:t>
      </w:r>
    </w:p>
    <w:p w:rsidR="00FE4E5E" w:rsidRDefault="00FE4E5E" w:rsidP="00FE4E5E">
      <w:pPr>
        <w:pStyle w:val="Heading1"/>
      </w:pPr>
      <w:r>
        <w:t>Information Value Chain Setup</w:t>
      </w:r>
    </w:p>
    <w:p w:rsidR="0096191F" w:rsidRDefault="00317A69" w:rsidP="0096191F">
      <w:r>
        <w:t>T</w:t>
      </w:r>
      <w:r>
        <w:rPr>
          <w:rFonts w:hint="eastAsia"/>
        </w:rPr>
        <w:t xml:space="preserve">he </w:t>
      </w:r>
      <w:r>
        <w:t>Manager of the office REIT (the “Manager”) was set up to make sure the REIT make stable dividend payment to its investors for the long term.</w:t>
      </w:r>
    </w:p>
    <w:p w:rsidR="00317A69" w:rsidRDefault="00317A69" w:rsidP="0096191F">
      <w:r>
        <w:t xml:space="preserve">To achieve this goal, I see analytics being </w:t>
      </w:r>
      <w:r w:rsidR="00C902A0">
        <w:t>useful to at least two aspects of the operations, leasing management and risk management.</w:t>
      </w:r>
    </w:p>
    <w:p w:rsidR="00C902A0" w:rsidRDefault="00C902A0" w:rsidP="00C902A0">
      <w:pPr>
        <w:pStyle w:val="Heading2"/>
      </w:pPr>
      <w:r>
        <w:rPr>
          <w:rFonts w:hint="eastAsia"/>
        </w:rPr>
        <w:t>Leasing management</w:t>
      </w:r>
    </w:p>
    <w:p w:rsidR="000D49CD" w:rsidRDefault="00C902A0" w:rsidP="0096191F">
      <w:r>
        <w:t xml:space="preserve">I shall begin with leasing management. Beijing office leasing market is kind to its landlords. Until recently, no new supply had come to the market since 2008-9, when a glut of supply hit the market before the 2008 Summer Olympic Games. </w:t>
      </w:r>
      <w:r w:rsidR="000D49CD">
        <w:t>Demand was strong as Beijing was not only the center of political power in a highly centralized regime, it is also the undisputed center of higher education. The talent pool and easier reach to various levels of governments made it attractive to domestic and foreign tenants alike.</w:t>
      </w:r>
    </w:p>
    <w:p w:rsidR="000D49CD" w:rsidRDefault="000D49CD" w:rsidP="0096191F">
      <w:r>
        <w:lastRenderedPageBreak/>
        <w:t>This cozy market is turning though. Central planners in Beijing had rezoned a central location 6 years ago and the current development plans would enlarge the total stock of prime offices by c.25% in the next 2-3 years. Sino-American Trade war and COVID-19 had put pressure on demand.</w:t>
      </w:r>
    </w:p>
    <w:p w:rsidR="00C902A0" w:rsidRDefault="00C902A0" w:rsidP="0096191F">
      <w:r>
        <w:t>The leases in office buildings usually last 3 years</w:t>
      </w:r>
      <w:bookmarkStart w:id="0" w:name="_GoBack"/>
      <w:bookmarkEnd w:id="0"/>
      <w:r>
        <w:t xml:space="preserve"> that means on average one third of the office tenants will be negotiating with their landlords </w:t>
      </w:r>
      <w:r w:rsidR="000D49CD">
        <w:t>on leasing terms. Such negotiations rarely drag on for more than 6 months. For the assets of the REIT, that means approximately 60 out of the 180 tenants would renegotiate in a given year, however early terminations would mean a busy schedule for the leasing team all year round.</w:t>
      </w:r>
    </w:p>
    <w:p w:rsidR="00C902A0" w:rsidRDefault="00C902A0" w:rsidP="0096191F">
      <w:r>
        <w:t xml:space="preserve">[4] </w:t>
      </w:r>
      <w:proofErr w:type="gramStart"/>
      <w:r>
        <w:t>areas</w:t>
      </w:r>
      <w:proofErr w:type="gramEnd"/>
      <w:r>
        <w:t xml:space="preserve"> stands out: 1) sourcing new tenants; 2) assessment of new tenants (credit and future expansion); 3) monitoring of early terminations and 4) reporting and investor relationship.</w:t>
      </w:r>
    </w:p>
    <w:p w:rsidR="00C902A0" w:rsidRPr="0096191F" w:rsidRDefault="00C902A0" w:rsidP="0096191F">
      <w:pPr>
        <w:rPr>
          <w:rFonts w:hint="eastAsia"/>
        </w:rPr>
      </w:pPr>
      <w:r>
        <w:t xml:space="preserve">For the sourcing new tenants, if an existing quality tenants (renewed / expanded) is known in the database to have affiliated companies, targeted marketing can be launched to see </w:t>
      </w:r>
    </w:p>
    <w:p w:rsidR="00FE4E5E" w:rsidRDefault="00FE4E5E" w:rsidP="00FE4E5E">
      <w:pPr>
        <w:pStyle w:val="Heading1"/>
      </w:pPr>
      <w:r>
        <w:t>Assessment</w:t>
      </w:r>
      <w:r>
        <w:rPr>
          <w:rFonts w:hint="eastAsia"/>
        </w:rPr>
        <w:t xml:space="preserve"> D</w:t>
      </w:r>
      <w:r>
        <w:t xml:space="preserve">ELTA Framework </w:t>
      </w:r>
    </w:p>
    <w:p w:rsidR="00A5545A" w:rsidRDefault="00A5545A" w:rsidP="00A5545A"/>
    <w:tbl>
      <w:tblPr>
        <w:tblStyle w:val="TableGrid"/>
        <w:tblW w:w="0" w:type="auto"/>
        <w:tblLook w:val="04A0" w:firstRow="1" w:lastRow="0" w:firstColumn="1" w:lastColumn="0" w:noHBand="0" w:noVBand="1"/>
      </w:tblPr>
      <w:tblGrid>
        <w:gridCol w:w="795"/>
        <w:gridCol w:w="1405"/>
        <w:gridCol w:w="1024"/>
        <w:gridCol w:w="1302"/>
        <w:gridCol w:w="1332"/>
        <w:gridCol w:w="1159"/>
        <w:gridCol w:w="1204"/>
      </w:tblGrid>
      <w:tr w:rsidR="00A5545A" w:rsidTr="00A5545A">
        <w:tc>
          <w:tcPr>
            <w:tcW w:w="795" w:type="dxa"/>
          </w:tcPr>
          <w:p w:rsidR="00A5545A" w:rsidRDefault="00A5545A" w:rsidP="00A5545A"/>
        </w:tc>
        <w:tc>
          <w:tcPr>
            <w:tcW w:w="1405" w:type="dxa"/>
          </w:tcPr>
          <w:p w:rsidR="00A5545A" w:rsidRDefault="00A5545A" w:rsidP="00A5545A"/>
        </w:tc>
        <w:tc>
          <w:tcPr>
            <w:tcW w:w="6021" w:type="dxa"/>
            <w:gridSpan w:val="5"/>
            <w:vAlign w:val="center"/>
          </w:tcPr>
          <w:p w:rsidR="00A5545A" w:rsidRDefault="00A5545A" w:rsidP="00A5545A">
            <w:pPr>
              <w:jc w:val="center"/>
              <w:rPr>
                <w:rFonts w:hint="eastAsia"/>
              </w:rPr>
            </w:pPr>
            <w:r>
              <w:rPr>
                <w:rFonts w:hint="eastAsia"/>
              </w:rPr>
              <w:t>Capabilities</w:t>
            </w:r>
          </w:p>
        </w:tc>
      </w:tr>
      <w:tr w:rsidR="00A5545A" w:rsidTr="00A5545A">
        <w:tc>
          <w:tcPr>
            <w:tcW w:w="795" w:type="dxa"/>
          </w:tcPr>
          <w:p w:rsidR="00A5545A" w:rsidRDefault="00A5545A" w:rsidP="00A5545A"/>
        </w:tc>
        <w:tc>
          <w:tcPr>
            <w:tcW w:w="1405" w:type="dxa"/>
          </w:tcPr>
          <w:p w:rsidR="00A5545A" w:rsidRDefault="00A5545A" w:rsidP="00A5545A"/>
        </w:tc>
        <w:tc>
          <w:tcPr>
            <w:tcW w:w="1024" w:type="dxa"/>
            <w:vAlign w:val="center"/>
          </w:tcPr>
          <w:p w:rsidR="00A5545A" w:rsidRDefault="00A5545A" w:rsidP="00A5545A">
            <w:pPr>
              <w:jc w:val="center"/>
            </w:pPr>
            <w:r>
              <w:rPr>
                <w:rFonts w:hint="eastAsia"/>
              </w:rPr>
              <w:t>Data</w:t>
            </w:r>
          </w:p>
        </w:tc>
        <w:tc>
          <w:tcPr>
            <w:tcW w:w="1302" w:type="dxa"/>
            <w:vAlign w:val="center"/>
          </w:tcPr>
          <w:p w:rsidR="00A5545A" w:rsidRDefault="00A5545A" w:rsidP="00A5545A">
            <w:pPr>
              <w:jc w:val="center"/>
            </w:pPr>
            <w:r>
              <w:rPr>
                <w:rFonts w:hint="eastAsia"/>
              </w:rPr>
              <w:t>Enterprise</w:t>
            </w:r>
          </w:p>
        </w:tc>
        <w:tc>
          <w:tcPr>
            <w:tcW w:w="1332" w:type="dxa"/>
            <w:vAlign w:val="center"/>
          </w:tcPr>
          <w:p w:rsidR="00A5545A" w:rsidRDefault="00A5545A" w:rsidP="00A5545A">
            <w:pPr>
              <w:jc w:val="center"/>
              <w:rPr>
                <w:rFonts w:hint="eastAsia"/>
              </w:rPr>
            </w:pPr>
            <w:r>
              <w:rPr>
                <w:rFonts w:hint="eastAsia"/>
              </w:rPr>
              <w:t>Leadership</w:t>
            </w:r>
          </w:p>
        </w:tc>
        <w:tc>
          <w:tcPr>
            <w:tcW w:w="1159" w:type="dxa"/>
            <w:vAlign w:val="center"/>
          </w:tcPr>
          <w:p w:rsidR="00A5545A" w:rsidRDefault="00A5545A" w:rsidP="00A5545A">
            <w:pPr>
              <w:jc w:val="center"/>
            </w:pPr>
            <w:r>
              <w:rPr>
                <w:rFonts w:hint="eastAsia"/>
              </w:rPr>
              <w:t>Targets</w:t>
            </w:r>
          </w:p>
        </w:tc>
        <w:tc>
          <w:tcPr>
            <w:tcW w:w="1204" w:type="dxa"/>
            <w:vAlign w:val="center"/>
          </w:tcPr>
          <w:p w:rsidR="00A5545A" w:rsidRDefault="00A5545A" w:rsidP="00A5545A">
            <w:pPr>
              <w:jc w:val="center"/>
            </w:pPr>
            <w:r>
              <w:rPr>
                <w:rFonts w:hint="eastAsia"/>
              </w:rPr>
              <w:t>Analysts</w:t>
            </w:r>
          </w:p>
        </w:tc>
      </w:tr>
      <w:tr w:rsidR="00A5545A" w:rsidTr="00A5545A">
        <w:tc>
          <w:tcPr>
            <w:tcW w:w="795" w:type="dxa"/>
          </w:tcPr>
          <w:p w:rsidR="00A5545A" w:rsidRDefault="00A5545A" w:rsidP="00A5545A">
            <w:pPr>
              <w:rPr>
                <w:rFonts w:hint="eastAsia"/>
              </w:rPr>
            </w:pPr>
            <w:r>
              <w:rPr>
                <w:rFonts w:hint="eastAsia"/>
              </w:rPr>
              <w:t>5</w:t>
            </w:r>
          </w:p>
        </w:tc>
        <w:tc>
          <w:tcPr>
            <w:tcW w:w="1405" w:type="dxa"/>
          </w:tcPr>
          <w:p w:rsidR="00A5545A" w:rsidRDefault="00A5545A" w:rsidP="00A5545A">
            <w:r>
              <w:rPr>
                <w:rFonts w:hint="eastAsia"/>
              </w:rPr>
              <w:t>Competitors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4</w:t>
            </w:r>
          </w:p>
        </w:tc>
        <w:tc>
          <w:tcPr>
            <w:tcW w:w="1405" w:type="dxa"/>
          </w:tcPr>
          <w:p w:rsidR="00A5545A" w:rsidRDefault="00A5545A" w:rsidP="00A5545A">
            <w:r>
              <w:rPr>
                <w:rFonts w:hint="eastAsia"/>
              </w:rPr>
              <w:t>Companies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3</w:t>
            </w:r>
          </w:p>
        </w:tc>
        <w:tc>
          <w:tcPr>
            <w:tcW w:w="1405" w:type="dxa"/>
          </w:tcPr>
          <w:p w:rsidR="00A5545A" w:rsidRDefault="00A5545A" w:rsidP="00A5545A">
            <w:r>
              <w:rPr>
                <w:rFonts w:hint="eastAsia"/>
              </w:rPr>
              <w:t>Aspirations</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2</w:t>
            </w:r>
          </w:p>
        </w:tc>
        <w:tc>
          <w:tcPr>
            <w:tcW w:w="1405" w:type="dxa"/>
          </w:tcPr>
          <w:p w:rsidR="00A5545A" w:rsidRDefault="00A5545A" w:rsidP="00A5545A">
            <w:r>
              <w:rPr>
                <w:rFonts w:hint="eastAsia"/>
              </w:rPr>
              <w:t>Localized</w:t>
            </w:r>
          </w:p>
        </w:tc>
        <w:tc>
          <w:tcPr>
            <w:tcW w:w="1024" w:type="dxa"/>
            <w:vAlign w:val="center"/>
          </w:tcPr>
          <w:p w:rsidR="00A5545A" w:rsidRDefault="00A5545A" w:rsidP="00A5545A">
            <w:pPr>
              <w:jc w:val="center"/>
            </w:pPr>
            <w:r>
              <w:rPr>
                <w:rFonts w:hint="eastAsia"/>
              </w:rPr>
              <w:t>2</w:t>
            </w:r>
          </w:p>
        </w:tc>
        <w:tc>
          <w:tcPr>
            <w:tcW w:w="1302" w:type="dxa"/>
            <w:vAlign w:val="center"/>
          </w:tcPr>
          <w:p w:rsidR="00A5545A" w:rsidRDefault="00A5545A" w:rsidP="00A5545A">
            <w:pPr>
              <w:jc w:val="center"/>
            </w:pPr>
            <w:r>
              <w:rPr>
                <w:rFonts w:hint="eastAsia"/>
              </w:rPr>
              <w:t>2</w:t>
            </w:r>
          </w:p>
        </w:tc>
        <w:tc>
          <w:tcPr>
            <w:tcW w:w="1332" w:type="dxa"/>
            <w:vAlign w:val="center"/>
          </w:tcPr>
          <w:p w:rsidR="00A5545A" w:rsidRDefault="00A5545A" w:rsidP="00A5545A">
            <w:pPr>
              <w:jc w:val="center"/>
            </w:pPr>
          </w:p>
        </w:tc>
        <w:tc>
          <w:tcPr>
            <w:tcW w:w="1159" w:type="dxa"/>
            <w:vAlign w:val="center"/>
          </w:tcPr>
          <w:p w:rsidR="00A5545A" w:rsidRDefault="00A5545A" w:rsidP="00A5545A">
            <w:pPr>
              <w:jc w:val="center"/>
            </w:pPr>
            <w:r>
              <w:rPr>
                <w:rFonts w:hint="eastAsia"/>
              </w:rPr>
              <w:t>2</w:t>
            </w:r>
          </w:p>
        </w:tc>
        <w:tc>
          <w:tcPr>
            <w:tcW w:w="1204" w:type="dxa"/>
            <w:vAlign w:val="center"/>
          </w:tcPr>
          <w:p w:rsidR="00A5545A" w:rsidRDefault="00A5545A" w:rsidP="00A5545A">
            <w:pPr>
              <w:jc w:val="center"/>
            </w:pPr>
          </w:p>
        </w:tc>
      </w:tr>
      <w:tr w:rsidR="00A5545A" w:rsidTr="00A5545A">
        <w:tc>
          <w:tcPr>
            <w:tcW w:w="795" w:type="dxa"/>
          </w:tcPr>
          <w:p w:rsidR="00A5545A" w:rsidRDefault="00A5545A" w:rsidP="00A5545A">
            <w:r>
              <w:rPr>
                <w:rFonts w:hint="eastAsia"/>
              </w:rPr>
              <w:t>1</w:t>
            </w:r>
          </w:p>
        </w:tc>
        <w:tc>
          <w:tcPr>
            <w:tcW w:w="1405" w:type="dxa"/>
          </w:tcPr>
          <w:p w:rsidR="00A5545A" w:rsidRDefault="00A5545A" w:rsidP="00A5545A">
            <w:r>
              <w:rPr>
                <w:rFonts w:hint="eastAsia"/>
              </w:rPr>
              <w:t>Impaired</w:t>
            </w:r>
          </w:p>
        </w:tc>
        <w:tc>
          <w:tcPr>
            <w:tcW w:w="1024" w:type="dxa"/>
            <w:vAlign w:val="center"/>
          </w:tcPr>
          <w:p w:rsidR="00A5545A" w:rsidRDefault="00A5545A" w:rsidP="00A5545A">
            <w:pPr>
              <w:jc w:val="center"/>
            </w:pPr>
          </w:p>
        </w:tc>
        <w:tc>
          <w:tcPr>
            <w:tcW w:w="1302" w:type="dxa"/>
            <w:vAlign w:val="center"/>
          </w:tcPr>
          <w:p w:rsidR="00A5545A" w:rsidRDefault="00A5545A" w:rsidP="00A5545A">
            <w:pPr>
              <w:jc w:val="center"/>
            </w:pPr>
          </w:p>
        </w:tc>
        <w:tc>
          <w:tcPr>
            <w:tcW w:w="1332" w:type="dxa"/>
            <w:vAlign w:val="center"/>
          </w:tcPr>
          <w:p w:rsidR="00A5545A" w:rsidRDefault="00A5545A" w:rsidP="00A5545A">
            <w:pPr>
              <w:jc w:val="center"/>
            </w:pPr>
            <w:r>
              <w:rPr>
                <w:rFonts w:hint="eastAsia"/>
              </w:rPr>
              <w:t>1</w:t>
            </w:r>
          </w:p>
        </w:tc>
        <w:tc>
          <w:tcPr>
            <w:tcW w:w="1159" w:type="dxa"/>
            <w:vAlign w:val="center"/>
          </w:tcPr>
          <w:p w:rsidR="00A5545A" w:rsidRDefault="00A5545A" w:rsidP="00A5545A">
            <w:pPr>
              <w:jc w:val="center"/>
            </w:pPr>
          </w:p>
        </w:tc>
        <w:tc>
          <w:tcPr>
            <w:tcW w:w="1204" w:type="dxa"/>
            <w:vAlign w:val="center"/>
          </w:tcPr>
          <w:p w:rsidR="00A5545A" w:rsidRDefault="00A5545A" w:rsidP="00A5545A">
            <w:pPr>
              <w:jc w:val="center"/>
            </w:pPr>
            <w:r>
              <w:rPr>
                <w:rFonts w:hint="eastAsia"/>
              </w:rPr>
              <w:t>1</w:t>
            </w:r>
          </w:p>
        </w:tc>
      </w:tr>
      <w:tr w:rsidR="00A5545A" w:rsidTr="00BD3A92">
        <w:tc>
          <w:tcPr>
            <w:tcW w:w="795" w:type="dxa"/>
          </w:tcPr>
          <w:p w:rsidR="00A5545A" w:rsidRDefault="00A5545A" w:rsidP="00A5545A">
            <w:pPr>
              <w:rPr>
                <w:rFonts w:hint="eastAsia"/>
              </w:rPr>
            </w:pPr>
          </w:p>
        </w:tc>
        <w:tc>
          <w:tcPr>
            <w:tcW w:w="1405" w:type="dxa"/>
          </w:tcPr>
          <w:p w:rsidR="00A5545A" w:rsidRDefault="00A5545A" w:rsidP="00A5545A">
            <w:pPr>
              <w:rPr>
                <w:rFonts w:hint="eastAsia"/>
              </w:rPr>
            </w:pPr>
            <w:r>
              <w:rPr>
                <w:rFonts w:hint="eastAsia"/>
              </w:rPr>
              <w:t>Total</w:t>
            </w:r>
          </w:p>
        </w:tc>
        <w:tc>
          <w:tcPr>
            <w:tcW w:w="6021" w:type="dxa"/>
            <w:gridSpan w:val="5"/>
          </w:tcPr>
          <w:p w:rsidR="00A5545A" w:rsidRDefault="00A5545A" w:rsidP="00A5545A">
            <w:r>
              <w:rPr>
                <w:rFonts w:hint="eastAsia"/>
              </w:rPr>
              <w:t>8/5 = 1.6 (</w:t>
            </w:r>
            <w:r>
              <w:t>Stage2: “Localized Analytics”</w:t>
            </w:r>
            <w:r>
              <w:rPr>
                <w:rFonts w:hint="eastAsia"/>
              </w:rPr>
              <w:t>)</w:t>
            </w:r>
          </w:p>
        </w:tc>
      </w:tr>
    </w:tbl>
    <w:p w:rsidR="00A5545A" w:rsidRDefault="00A5545A" w:rsidP="00A5545A"/>
    <w:p w:rsidR="00A5545A" w:rsidRPr="00A5545A" w:rsidRDefault="00A5545A" w:rsidP="00A5545A">
      <w:pPr>
        <w:rPr>
          <w:rFonts w:hint="eastAsia"/>
        </w:rPr>
      </w:pPr>
    </w:p>
    <w:sectPr w:rsidR="00A5545A" w:rsidRPr="00A5545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5EA"/>
    <w:rsid w:val="000D49CD"/>
    <w:rsid w:val="003031C9"/>
    <w:rsid w:val="00317A69"/>
    <w:rsid w:val="00361CC3"/>
    <w:rsid w:val="004005EA"/>
    <w:rsid w:val="00536F64"/>
    <w:rsid w:val="0096191F"/>
    <w:rsid w:val="009D2F05"/>
    <w:rsid w:val="00A5545A"/>
    <w:rsid w:val="00C902A0"/>
    <w:rsid w:val="00D47509"/>
    <w:rsid w:val="00FE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6766A-1118-40BD-ACF0-D03D1183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EA"/>
  </w:style>
  <w:style w:type="paragraph" w:styleId="Heading1">
    <w:name w:val="heading 1"/>
    <w:basedOn w:val="Normal"/>
    <w:next w:val="Normal"/>
    <w:link w:val="Heading1Char"/>
    <w:uiPriority w:val="9"/>
    <w:qFormat/>
    <w:rsid w:val="004005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005E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05E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005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05E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05E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005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5E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005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005E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005E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005E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05E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005E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005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5E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005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005EA"/>
    <w:pPr>
      <w:spacing w:line="240" w:lineRule="auto"/>
    </w:pPr>
    <w:rPr>
      <w:b/>
      <w:bCs/>
      <w:color w:val="5B9BD5" w:themeColor="accent1"/>
      <w:sz w:val="18"/>
      <w:szCs w:val="18"/>
    </w:rPr>
  </w:style>
  <w:style w:type="paragraph" w:styleId="Title">
    <w:name w:val="Title"/>
    <w:basedOn w:val="Normal"/>
    <w:next w:val="Normal"/>
    <w:link w:val="TitleChar"/>
    <w:uiPriority w:val="10"/>
    <w:qFormat/>
    <w:rsid w:val="004005E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005E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005E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005E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005EA"/>
    <w:rPr>
      <w:b/>
      <w:bCs/>
    </w:rPr>
  </w:style>
  <w:style w:type="character" w:styleId="Emphasis">
    <w:name w:val="Emphasis"/>
    <w:basedOn w:val="DefaultParagraphFont"/>
    <w:uiPriority w:val="20"/>
    <w:qFormat/>
    <w:rsid w:val="004005EA"/>
    <w:rPr>
      <w:i/>
      <w:iCs/>
    </w:rPr>
  </w:style>
  <w:style w:type="paragraph" w:styleId="NoSpacing">
    <w:name w:val="No Spacing"/>
    <w:uiPriority w:val="1"/>
    <w:qFormat/>
    <w:rsid w:val="004005EA"/>
    <w:pPr>
      <w:spacing w:after="0" w:line="240" w:lineRule="auto"/>
    </w:pPr>
  </w:style>
  <w:style w:type="paragraph" w:styleId="Quote">
    <w:name w:val="Quote"/>
    <w:basedOn w:val="Normal"/>
    <w:next w:val="Normal"/>
    <w:link w:val="QuoteChar"/>
    <w:uiPriority w:val="29"/>
    <w:qFormat/>
    <w:rsid w:val="004005EA"/>
    <w:rPr>
      <w:i/>
      <w:iCs/>
      <w:color w:val="000000" w:themeColor="text1"/>
    </w:rPr>
  </w:style>
  <w:style w:type="character" w:customStyle="1" w:styleId="QuoteChar">
    <w:name w:val="Quote Char"/>
    <w:basedOn w:val="DefaultParagraphFont"/>
    <w:link w:val="Quote"/>
    <w:uiPriority w:val="29"/>
    <w:rsid w:val="004005EA"/>
    <w:rPr>
      <w:i/>
      <w:iCs/>
      <w:color w:val="000000" w:themeColor="text1"/>
    </w:rPr>
  </w:style>
  <w:style w:type="paragraph" w:styleId="IntenseQuote">
    <w:name w:val="Intense Quote"/>
    <w:basedOn w:val="Normal"/>
    <w:next w:val="Normal"/>
    <w:link w:val="IntenseQuoteChar"/>
    <w:uiPriority w:val="30"/>
    <w:qFormat/>
    <w:rsid w:val="004005E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005EA"/>
    <w:rPr>
      <w:b/>
      <w:bCs/>
      <w:i/>
      <w:iCs/>
      <w:color w:val="5B9BD5" w:themeColor="accent1"/>
    </w:rPr>
  </w:style>
  <w:style w:type="character" w:styleId="SubtleEmphasis">
    <w:name w:val="Subtle Emphasis"/>
    <w:basedOn w:val="DefaultParagraphFont"/>
    <w:uiPriority w:val="19"/>
    <w:qFormat/>
    <w:rsid w:val="004005EA"/>
    <w:rPr>
      <w:i/>
      <w:iCs/>
      <w:color w:val="808080" w:themeColor="text1" w:themeTint="7F"/>
    </w:rPr>
  </w:style>
  <w:style w:type="character" w:styleId="IntenseEmphasis">
    <w:name w:val="Intense Emphasis"/>
    <w:basedOn w:val="DefaultParagraphFont"/>
    <w:uiPriority w:val="21"/>
    <w:qFormat/>
    <w:rsid w:val="004005EA"/>
    <w:rPr>
      <w:b/>
      <w:bCs/>
      <w:i/>
      <w:iCs/>
      <w:color w:val="5B9BD5" w:themeColor="accent1"/>
    </w:rPr>
  </w:style>
  <w:style w:type="character" w:styleId="SubtleReference">
    <w:name w:val="Subtle Reference"/>
    <w:basedOn w:val="DefaultParagraphFont"/>
    <w:uiPriority w:val="31"/>
    <w:qFormat/>
    <w:rsid w:val="004005EA"/>
    <w:rPr>
      <w:smallCaps/>
      <w:color w:val="ED7D31" w:themeColor="accent2"/>
      <w:u w:val="single"/>
    </w:rPr>
  </w:style>
  <w:style w:type="character" w:styleId="IntenseReference">
    <w:name w:val="Intense Reference"/>
    <w:basedOn w:val="DefaultParagraphFont"/>
    <w:uiPriority w:val="32"/>
    <w:qFormat/>
    <w:rsid w:val="004005EA"/>
    <w:rPr>
      <w:b/>
      <w:bCs/>
      <w:smallCaps/>
      <w:color w:val="ED7D31" w:themeColor="accent2"/>
      <w:spacing w:val="5"/>
      <w:u w:val="single"/>
    </w:rPr>
  </w:style>
  <w:style w:type="character" w:styleId="BookTitle">
    <w:name w:val="Book Title"/>
    <w:basedOn w:val="DefaultParagraphFont"/>
    <w:uiPriority w:val="33"/>
    <w:qFormat/>
    <w:rsid w:val="004005EA"/>
    <w:rPr>
      <w:b/>
      <w:bCs/>
      <w:smallCaps/>
      <w:spacing w:val="5"/>
    </w:rPr>
  </w:style>
  <w:style w:type="paragraph" w:styleId="TOCHeading">
    <w:name w:val="TOC Heading"/>
    <w:basedOn w:val="Heading1"/>
    <w:next w:val="Normal"/>
    <w:uiPriority w:val="39"/>
    <w:semiHidden/>
    <w:unhideWhenUsed/>
    <w:qFormat/>
    <w:rsid w:val="004005EA"/>
    <w:pPr>
      <w:outlineLvl w:val="9"/>
    </w:pPr>
  </w:style>
  <w:style w:type="table" w:styleId="TableGrid">
    <w:name w:val="Table Grid"/>
    <w:basedOn w:val="TableNormal"/>
    <w:uiPriority w:val="39"/>
    <w:rsid w:val="00A55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8</cp:revision>
  <dcterms:created xsi:type="dcterms:W3CDTF">2020-05-18T08:32:00Z</dcterms:created>
  <dcterms:modified xsi:type="dcterms:W3CDTF">2020-05-18T10:20:00Z</dcterms:modified>
</cp:coreProperties>
</file>