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AF696">
      <w:bookmarkStart w:id="13" w:name="_GoBack"/>
      <w:bookmarkEnd w:id="13"/>
    </w:p>
    <w:p w14:paraId="51979D12"/>
    <w:p w14:paraId="24B04CEA"/>
    <w:p w14:paraId="39F28D91"/>
    <w:p w14:paraId="16D0E135"/>
    <w:p w14:paraId="0A5EB3C4">
      <w:pPr>
        <w:pStyle w:val="11"/>
        <w:jc w:val="center"/>
      </w:pPr>
      <w:bookmarkStart w:id="0" w:name="_Toc28370"/>
      <w:r>
        <w:rPr>
          <w:rFonts w:ascii="黑体" w:hAnsi="黑体" w:eastAsia="黑体"/>
          <w:b/>
          <w:i w:val="0"/>
          <w:color w:val="000000"/>
          <w:sz w:val="44"/>
        </w:rPr>
        <w:t>算力约束下大语言模型资源配置建模</w:t>
      </w:r>
      <w:bookmarkEnd w:id="0"/>
    </w:p>
    <w:p w14:paraId="3826E6CA">
      <w:pPr>
        <w:spacing w:after="360"/>
        <w:jc w:val="center"/>
      </w:pPr>
      <w:r>
        <w:rPr>
          <w:rFonts w:ascii="黑体" w:hAnsi="黑体" w:eastAsia="黑体"/>
          <w:b/>
          <w:i w:val="0"/>
          <w:color w:val="000000"/>
          <w:sz w:val="30"/>
        </w:rPr>
        <w:t>问题一至问题四实验报告</w:t>
      </w:r>
    </w:p>
    <w:p w14:paraId="3155EDB5"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基于项目现有数据、模型与结果图表</w:t>
      </w:r>
    </w:p>
    <w:p w14:paraId="0877E9B9"/>
    <w:p w14:paraId="3B83A868"/>
    <w:p w14:paraId="57C38255"/>
    <w:p w14:paraId="6FB058D8"/>
    <w:p w14:paraId="2E900E04"/>
    <w:p w14:paraId="45D72785"/>
    <w:p w14:paraId="13D3CF63"/>
    <w:p w14:paraId="667BBD66">
      <w:pPr>
        <w:jc w:val="center"/>
      </w:pPr>
      <w:r>
        <w:rPr>
          <w:rFonts w:ascii="黑体" w:hAnsi="黑体" w:eastAsia="黑体"/>
          <w:b/>
          <w:i w:val="0"/>
          <w:color w:val="000000"/>
          <w:sz w:val="28"/>
        </w:rPr>
        <w:t>实验报告</w:t>
      </w:r>
    </w:p>
    <w:p w14:paraId="1303D006"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2026年10月</w:t>
      </w:r>
    </w:p>
    <w:p w14:paraId="3890603A">
      <w:r>
        <w:br w:type="page"/>
      </w:r>
    </w:p>
    <w:p w14:paraId="17BDA17E">
      <w:pPr>
        <w:pStyle w:val="2"/>
      </w:pPr>
      <w:bookmarkStart w:id="1" w:name="_Toc9049"/>
      <w:r>
        <w:rPr>
          <w:rFonts w:ascii="黑体" w:hAnsi="黑体" w:eastAsia="黑体"/>
          <w:b/>
          <w:i w:val="0"/>
          <w:color w:val="000000"/>
          <w:sz w:val="28"/>
        </w:rPr>
        <w:t>摘要</w:t>
      </w:r>
      <w:bookmarkEnd w:id="1"/>
    </w:p>
    <w:p w14:paraId="68C1FF4A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本文围绕算力约束下大语言模型能力提升的资源配置问题，对项目中问题一至问题四的完整实验流程进行整理。问题一从 22 个质量指标出发，比较统一方向与按七个质量域设置方向的质量评价，随后采用两段式语义冲突扣减，并在配比数据上比较岭回归、共享系数的 M1、逐损失域系数的 M1 和非线性的 M2。问题二在 B1 经典标度律上固定经验基线 E，比较 additive、interaction 和新的质量幂函数三种质量响应，并逐一比较加入 H* 常数修正与不加入的六个模型。问题三使用问题二选出的模型，在资源预算、上下文长度、质量成本和配比单纯形约束下，以粒子群算法进行优化，并以 SLSQP 作对照。问题四保持项目原方法，对开源模型能力前沿、规模与技术分解、Loss–能力桥接和六项任务能力进行分析。</w:t>
      </w:r>
    </w:p>
    <w:p w14:paraId="593DEA18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报告特别区分了拟合改进与机制识别。当前 B 数据逐行没有领域配比观测，因此 H* 在问题二中对所有样本相同，lambda·H* 等效于可调截距；开放配比 p 的第三问优化依赖于 A 数据中 H(p) 形状可以迁移到 B 的额外假设。Q 和 p 可以作为控制变量分别进入代理模型，但这不意味着二者在真实数据中统计独立，也不允许同时把 Q 定义为 p 的加权函数后又把二者自由优化。所有半合成数据、跨尺度估计和超出拟合范围的资源解均按情景或诊断处理，不表述为已完成的真实训练验证。</w:t>
      </w:r>
    </w:p>
    <w:p w14:paraId="39AED769">
      <w:pPr>
        <w:spacing w:after="80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关键词：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数据质量；领域配比；标度律；粒子群优化；外推；大语言模型</w:t>
      </w:r>
    </w:p>
    <w:p w14:paraId="3C15F9A1">
      <w:r>
        <w:br w:type="page"/>
      </w:r>
    </w:p>
    <w:p w14:paraId="0EF88E88">
      <w:pPr>
        <w:pStyle w:val="2"/>
      </w:pPr>
      <w:bookmarkStart w:id="2" w:name="_Toc22866"/>
      <w:r>
        <w:rPr>
          <w:rFonts w:ascii="黑体" w:hAnsi="黑体" w:eastAsia="黑体"/>
          <w:b/>
          <w:i w:val="0"/>
          <w:color w:val="000000"/>
          <w:sz w:val="28"/>
        </w:rPr>
        <w:t>目录</w:t>
      </w:r>
      <w:bookmarkEnd w:id="2"/>
    </w:p>
    <w:p w14:paraId="2C00BBDA">
      <w:pPr>
        <w:pStyle w:val="8"/>
        <w:tabs>
          <w:tab w:val="right" w:leader="dot" w:pos="8306"/>
          <w:tab w:val="clear" w:pos="8296"/>
        </w:tabs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fldChar w:fldCharType="begin"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instrText xml:space="preserve">TOC \o "1-3" \h \z \u</w:instrTex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fldChar w:fldCharType="separate"/>
      </w:r>
      <w:r>
        <w:rPr>
          <w:rFonts w:ascii="Times New Roman" w:hAnsi="Times New Roman" w:eastAsia="宋体"/>
          <w:i w:val="0"/>
          <w:color w:val="00000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_Toc28370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黑体" w:hAnsi="黑体" w:eastAsia="黑体"/>
          <w:i w:val="0"/>
        </w:rPr>
        <w:t>算力约束下大语言模型资源配置建模</w:t>
      </w:r>
      <w:r>
        <w:tab/>
      </w:r>
      <w:r>
        <w:fldChar w:fldCharType="begin"/>
      </w:r>
      <w:r>
        <w:instrText xml:space="preserve"> PAGEREF _Toc28370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eastAsia="宋体"/>
          <w:i w:val="0"/>
          <w:color w:val="000000"/>
        </w:rPr>
        <w:fldChar w:fldCharType="end"/>
      </w:r>
    </w:p>
    <w:p w14:paraId="6872D754">
      <w:pPr>
        <w:pStyle w:val="8"/>
        <w:tabs>
          <w:tab w:val="right" w:leader="dot" w:pos="8306"/>
          <w:tab w:val="clear" w:pos="8296"/>
        </w:tabs>
      </w:pPr>
      <w:r>
        <w:rPr>
          <w:rFonts w:ascii="Times New Roman" w:hAnsi="Times New Roman" w:eastAsia="宋体"/>
          <w:i w:val="0"/>
          <w:color w:val="00000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_Toc9049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黑体" w:hAnsi="黑体" w:eastAsia="黑体"/>
          <w:i w:val="0"/>
        </w:rPr>
        <w:t>摘要</w:t>
      </w:r>
      <w:r>
        <w:tab/>
      </w:r>
      <w:r>
        <w:fldChar w:fldCharType="begin"/>
      </w:r>
      <w:r>
        <w:instrText xml:space="preserve"> PAGEREF _Toc9049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  <w:i w:val="0"/>
          <w:color w:val="000000"/>
        </w:rPr>
        <w:fldChar w:fldCharType="end"/>
      </w:r>
    </w:p>
    <w:p w14:paraId="6387D6D4">
      <w:pPr>
        <w:pStyle w:val="8"/>
        <w:tabs>
          <w:tab w:val="right" w:leader="dot" w:pos="8306"/>
          <w:tab w:val="clear" w:pos="8296"/>
        </w:tabs>
      </w:pPr>
      <w:r>
        <w:rPr>
          <w:rFonts w:ascii="Times New Roman" w:hAnsi="Times New Roman" w:eastAsia="宋体"/>
          <w:i w:val="0"/>
          <w:color w:val="00000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_Toc22866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黑体" w:hAnsi="黑体" w:eastAsia="黑体"/>
          <w:i w:val="0"/>
        </w:rPr>
        <w:t>目录</w:t>
      </w:r>
      <w:r>
        <w:tab/>
      </w:r>
      <w:r>
        <w:fldChar w:fldCharType="begin"/>
      </w:r>
      <w:r>
        <w:instrText xml:space="preserve"> PAGEREF _Toc22866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  <w:i w:val="0"/>
          <w:color w:val="000000"/>
        </w:rPr>
        <w:fldChar w:fldCharType="end"/>
      </w:r>
    </w:p>
    <w:p w14:paraId="23BA3875">
      <w:pPr>
        <w:pStyle w:val="8"/>
        <w:tabs>
          <w:tab w:val="right" w:leader="dot" w:pos="8306"/>
          <w:tab w:val="clear" w:pos="8296"/>
        </w:tabs>
      </w:pPr>
      <w:r>
        <w:rPr>
          <w:rFonts w:ascii="Times New Roman" w:hAnsi="Times New Roman" w:eastAsia="宋体"/>
          <w:i w:val="0"/>
          <w:color w:val="00000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_Toc22510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黑体" w:hAnsi="黑体" w:eastAsia="黑体"/>
          <w:i w:val="0"/>
        </w:rPr>
        <w:t>1 研究问题与总体路线</w:t>
      </w:r>
      <w:r>
        <w:tab/>
      </w:r>
      <w:r>
        <w:fldChar w:fldCharType="begin"/>
      </w:r>
      <w:r>
        <w:instrText xml:space="preserve"> PAGEREF _Toc22510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  <w:i w:val="0"/>
          <w:color w:val="000000"/>
        </w:rPr>
        <w:fldChar w:fldCharType="end"/>
      </w:r>
    </w:p>
    <w:p w14:paraId="3506FC24">
      <w:pPr>
        <w:pStyle w:val="8"/>
        <w:tabs>
          <w:tab w:val="right" w:leader="dot" w:pos="8306"/>
          <w:tab w:val="clear" w:pos="8296"/>
        </w:tabs>
      </w:pPr>
      <w:r>
        <w:rPr>
          <w:rFonts w:ascii="Times New Roman" w:hAnsi="Times New Roman" w:eastAsia="宋体"/>
          <w:i w:val="0"/>
          <w:color w:val="00000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_Toc26862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黑体" w:hAnsi="黑体" w:eastAsia="黑体"/>
          <w:i w:val="0"/>
        </w:rPr>
        <w:t>2 数据、符号与模型假设</w:t>
      </w:r>
      <w:r>
        <w:tab/>
      </w:r>
      <w:r>
        <w:fldChar w:fldCharType="begin"/>
      </w:r>
      <w:r>
        <w:instrText xml:space="preserve"> PAGEREF _Toc26862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  <w:i w:val="0"/>
          <w:color w:val="000000"/>
        </w:rPr>
        <w:fldChar w:fldCharType="end"/>
      </w:r>
    </w:p>
    <w:p w14:paraId="7B5E39D0">
      <w:pPr>
        <w:pStyle w:val="8"/>
        <w:tabs>
          <w:tab w:val="right" w:leader="dot" w:pos="8306"/>
          <w:tab w:val="clear" w:pos="8296"/>
        </w:tabs>
      </w:pPr>
      <w:r>
        <w:rPr>
          <w:rFonts w:ascii="Times New Roman" w:hAnsi="Times New Roman" w:eastAsia="宋体"/>
          <w:i w:val="0"/>
          <w:color w:val="00000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_Toc1054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黑体" w:hAnsi="黑体" w:eastAsia="黑体"/>
          <w:i w:val="0"/>
        </w:rPr>
        <w:t>3 问题一 质量建模与配比回归</w:t>
      </w:r>
      <w:r>
        <w:tab/>
      </w:r>
      <w:r>
        <w:fldChar w:fldCharType="begin"/>
      </w:r>
      <w:r>
        <w:instrText xml:space="preserve"> PAGEREF _Toc1054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  <w:i w:val="0"/>
          <w:color w:val="000000"/>
        </w:rPr>
        <w:fldChar w:fldCharType="end"/>
      </w:r>
    </w:p>
    <w:p w14:paraId="10572977">
      <w:pPr>
        <w:pStyle w:val="8"/>
        <w:tabs>
          <w:tab w:val="right" w:leader="dot" w:pos="8306"/>
          <w:tab w:val="clear" w:pos="8296"/>
        </w:tabs>
      </w:pPr>
      <w:r>
        <w:rPr>
          <w:rFonts w:ascii="Times New Roman" w:hAnsi="Times New Roman" w:eastAsia="宋体"/>
          <w:i w:val="0"/>
          <w:color w:val="00000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_Toc10735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黑体" w:hAnsi="黑体" w:eastAsia="黑体"/>
          <w:i w:val="0"/>
        </w:rPr>
        <w:t>4 问题二 广义标度律</w:t>
      </w:r>
      <w:r>
        <w:tab/>
      </w:r>
      <w:r>
        <w:fldChar w:fldCharType="begin"/>
      </w:r>
      <w:r>
        <w:instrText xml:space="preserve"> PAGEREF _Toc10735 \h </w:instrText>
      </w:r>
      <w:r>
        <w:fldChar w:fldCharType="separate"/>
      </w:r>
      <w:r>
        <w:t>17</w:t>
      </w:r>
      <w:r>
        <w:fldChar w:fldCharType="end"/>
      </w:r>
      <w:r>
        <w:rPr>
          <w:rFonts w:ascii="Times New Roman" w:hAnsi="Times New Roman" w:eastAsia="宋体"/>
          <w:i w:val="0"/>
          <w:color w:val="000000"/>
        </w:rPr>
        <w:fldChar w:fldCharType="end"/>
      </w:r>
    </w:p>
    <w:p w14:paraId="6A9775A6">
      <w:pPr>
        <w:pStyle w:val="8"/>
        <w:tabs>
          <w:tab w:val="right" w:leader="dot" w:pos="8306"/>
          <w:tab w:val="clear" w:pos="8296"/>
        </w:tabs>
      </w:pPr>
      <w:r>
        <w:rPr>
          <w:rFonts w:ascii="Times New Roman" w:hAnsi="Times New Roman" w:eastAsia="宋体"/>
          <w:i w:val="0"/>
          <w:color w:val="00000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_Toc27786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黑体" w:hAnsi="黑体" w:eastAsia="黑体"/>
          <w:i w:val="0"/>
        </w:rPr>
        <w:t>5 问题三 算力约束下资源优化</w:t>
      </w:r>
      <w:r>
        <w:tab/>
      </w:r>
      <w:r>
        <w:fldChar w:fldCharType="begin"/>
      </w:r>
      <w:r>
        <w:instrText xml:space="preserve"> PAGEREF _Toc27786 \h </w:instrText>
      </w:r>
      <w:r>
        <w:fldChar w:fldCharType="separate"/>
      </w:r>
      <w:r>
        <w:t>21</w:t>
      </w:r>
      <w:r>
        <w:fldChar w:fldCharType="end"/>
      </w:r>
      <w:r>
        <w:rPr>
          <w:rFonts w:ascii="Times New Roman" w:hAnsi="Times New Roman" w:eastAsia="宋体"/>
          <w:i w:val="0"/>
          <w:color w:val="000000"/>
        </w:rPr>
        <w:fldChar w:fldCharType="end"/>
      </w:r>
    </w:p>
    <w:p w14:paraId="0CC74C53">
      <w:pPr>
        <w:pStyle w:val="8"/>
        <w:tabs>
          <w:tab w:val="right" w:leader="dot" w:pos="8306"/>
          <w:tab w:val="clear" w:pos="8296"/>
        </w:tabs>
      </w:pPr>
      <w:r>
        <w:rPr>
          <w:rFonts w:ascii="Times New Roman" w:hAnsi="Times New Roman" w:eastAsia="宋体"/>
          <w:i w:val="0"/>
          <w:color w:val="00000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_Toc31234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黑体" w:hAnsi="黑体" w:eastAsia="黑体"/>
          <w:i w:val="0"/>
        </w:rPr>
        <w:t>6 问题四 模型能力演化与桥接</w:t>
      </w:r>
      <w:r>
        <w:tab/>
      </w:r>
      <w:r>
        <w:fldChar w:fldCharType="begin"/>
      </w:r>
      <w:r>
        <w:instrText xml:space="preserve"> PAGEREF _Toc31234 \h </w:instrText>
      </w:r>
      <w:r>
        <w:fldChar w:fldCharType="separate"/>
      </w:r>
      <w:r>
        <w:t>27</w:t>
      </w:r>
      <w:r>
        <w:fldChar w:fldCharType="end"/>
      </w:r>
      <w:r>
        <w:rPr>
          <w:rFonts w:ascii="Times New Roman" w:hAnsi="Times New Roman" w:eastAsia="宋体"/>
          <w:i w:val="0"/>
          <w:color w:val="000000"/>
        </w:rPr>
        <w:fldChar w:fldCharType="end"/>
      </w:r>
    </w:p>
    <w:p w14:paraId="09271FD5">
      <w:pPr>
        <w:pStyle w:val="8"/>
        <w:tabs>
          <w:tab w:val="right" w:leader="dot" w:pos="8306"/>
          <w:tab w:val="clear" w:pos="8296"/>
        </w:tabs>
      </w:pPr>
      <w:r>
        <w:rPr>
          <w:rFonts w:ascii="Times New Roman" w:hAnsi="Times New Roman" w:eastAsia="宋体"/>
          <w:i w:val="0"/>
          <w:color w:val="00000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_Toc15733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黑体" w:hAnsi="黑体" w:eastAsia="黑体"/>
          <w:i w:val="0"/>
        </w:rPr>
        <w:t>7 综合结论、限制与可检验的后续工作</w:t>
      </w:r>
      <w:r>
        <w:tab/>
      </w:r>
      <w:r>
        <w:fldChar w:fldCharType="begin"/>
      </w:r>
      <w:r>
        <w:instrText xml:space="preserve"> PAGEREF _Toc15733 \h </w:instrText>
      </w:r>
      <w:r>
        <w:fldChar w:fldCharType="separate"/>
      </w:r>
      <w:r>
        <w:t>30</w:t>
      </w:r>
      <w:r>
        <w:fldChar w:fldCharType="end"/>
      </w:r>
      <w:r>
        <w:rPr>
          <w:rFonts w:ascii="Times New Roman" w:hAnsi="Times New Roman" w:eastAsia="宋体"/>
          <w:i w:val="0"/>
          <w:color w:val="000000"/>
        </w:rPr>
        <w:fldChar w:fldCharType="end"/>
      </w:r>
    </w:p>
    <w:p w14:paraId="4D28669A">
      <w:pPr>
        <w:pStyle w:val="8"/>
        <w:tabs>
          <w:tab w:val="right" w:leader="dot" w:pos="8306"/>
          <w:tab w:val="clear" w:pos="8296"/>
        </w:tabs>
      </w:pPr>
      <w:r>
        <w:rPr>
          <w:rFonts w:ascii="Times New Roman" w:hAnsi="Times New Roman" w:eastAsia="宋体"/>
          <w:i w:val="0"/>
          <w:color w:val="00000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_Toc11388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黑体" w:hAnsi="黑体" w:eastAsia="黑体"/>
          <w:i w:val="0"/>
        </w:rPr>
        <w:t>附录 A 主要参数与配比</w:t>
      </w:r>
      <w:r>
        <w:tab/>
      </w:r>
      <w:r>
        <w:fldChar w:fldCharType="begin"/>
      </w:r>
      <w:r>
        <w:instrText xml:space="preserve"> PAGEREF _Toc11388 \h </w:instrText>
      </w:r>
      <w:r>
        <w:fldChar w:fldCharType="separate"/>
      </w:r>
      <w:r>
        <w:t>31</w:t>
      </w:r>
      <w:r>
        <w:fldChar w:fldCharType="end"/>
      </w:r>
      <w:r>
        <w:rPr>
          <w:rFonts w:ascii="Times New Roman" w:hAnsi="Times New Roman" w:eastAsia="宋体"/>
          <w:i w:val="0"/>
          <w:color w:val="000000"/>
        </w:rPr>
        <w:fldChar w:fldCharType="end"/>
      </w:r>
    </w:p>
    <w:p w14:paraId="492C4CD7">
      <w:pPr>
        <w:pStyle w:val="8"/>
        <w:tabs>
          <w:tab w:val="right" w:leader="dot" w:pos="8306"/>
          <w:tab w:val="clear" w:pos="8296"/>
        </w:tabs>
      </w:pPr>
      <w:r>
        <w:rPr>
          <w:rFonts w:ascii="Times New Roman" w:hAnsi="Times New Roman" w:eastAsia="宋体"/>
          <w:i w:val="0"/>
          <w:color w:val="00000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_Toc31859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黑体" w:hAnsi="黑体" w:eastAsia="黑体"/>
          <w:i w:val="0"/>
        </w:rPr>
        <w:t>附录 B 结果文件与复现入口</w:t>
      </w:r>
      <w:r>
        <w:tab/>
      </w:r>
      <w:r>
        <w:fldChar w:fldCharType="begin"/>
      </w:r>
      <w:r>
        <w:instrText xml:space="preserve"> PAGEREF _Toc31859 \h </w:instrText>
      </w:r>
      <w:r>
        <w:fldChar w:fldCharType="separate"/>
      </w:r>
      <w:r>
        <w:t>32</w:t>
      </w:r>
      <w:r>
        <w:fldChar w:fldCharType="end"/>
      </w:r>
      <w:r>
        <w:rPr>
          <w:rFonts w:ascii="Times New Roman" w:hAnsi="Times New Roman" w:eastAsia="宋体"/>
          <w:i w:val="0"/>
          <w:color w:val="000000"/>
        </w:rPr>
        <w:fldChar w:fldCharType="end"/>
      </w:r>
    </w:p>
    <w:p w14:paraId="2915148E">
      <w:pPr>
        <w:pStyle w:val="8"/>
        <w:tabs>
          <w:tab w:val="right" w:leader="dot" w:pos="8306"/>
          <w:tab w:val="clear" w:pos="8296"/>
        </w:tabs>
      </w:pPr>
      <w:r>
        <w:rPr>
          <w:rFonts w:ascii="Times New Roman" w:hAnsi="Times New Roman" w:eastAsia="宋体"/>
          <w:i w:val="0"/>
          <w:color w:val="00000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_Toc6612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黑体" w:hAnsi="黑体" w:eastAsia="黑体"/>
          <w:i w:val="0"/>
        </w:rPr>
        <w:t>参考资料</w:t>
      </w:r>
      <w:r>
        <w:tab/>
      </w:r>
      <w:r>
        <w:fldChar w:fldCharType="begin"/>
      </w:r>
      <w:r>
        <w:instrText xml:space="preserve"> PAGEREF _Toc6612 \h </w:instrText>
      </w:r>
      <w:r>
        <w:fldChar w:fldCharType="separate"/>
      </w:r>
      <w:r>
        <w:t>32</w:t>
      </w:r>
      <w:r>
        <w:fldChar w:fldCharType="end"/>
      </w:r>
      <w:r>
        <w:rPr>
          <w:rFonts w:ascii="Times New Roman" w:hAnsi="Times New Roman" w:eastAsia="宋体"/>
          <w:i w:val="0"/>
          <w:color w:val="000000"/>
        </w:rPr>
        <w:fldChar w:fldCharType="end"/>
      </w:r>
    </w:p>
    <w:p w14:paraId="609F6BEA">
      <w:pPr>
        <w:spacing w:after="160"/>
        <w:jc w:val="left"/>
      </w:pPr>
      <w:r>
        <w:rPr>
          <w:rFonts w:ascii="Times New Roman" w:hAnsi="Times New Roman" w:eastAsia="宋体"/>
          <w:i w:val="0"/>
          <w:color w:val="000000"/>
        </w:rPr>
        <w:fldChar w:fldCharType="end"/>
      </w:r>
    </w:p>
    <w:p w14:paraId="1F022A78">
      <w:r>
        <w:br w:type="page"/>
      </w:r>
    </w:p>
    <w:p w14:paraId="7C3296A1">
      <w:pPr>
        <w:pStyle w:val="2"/>
      </w:pPr>
      <w:bookmarkStart w:id="3" w:name="_Toc22510"/>
      <w:r>
        <w:rPr>
          <w:rFonts w:ascii="黑体" w:hAnsi="黑体" w:eastAsia="黑体"/>
          <w:b/>
          <w:i w:val="0"/>
          <w:color w:val="000000"/>
          <w:sz w:val="28"/>
        </w:rPr>
        <w:t>1 研究问题与总体路线</w:t>
      </w:r>
      <w:bookmarkEnd w:id="3"/>
    </w:p>
    <w:p w14:paraId="00D589E5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项目研究的共同目标是在给定训练算力的条件下，解释模型损失如何随模型规模 N、训练数据量 D、数据质量 Q 和领域配比 p 变化，并据此给出资源分配方案。四个问题的输入来源和可识别对象不同：问题一的 A 数据同时含有文本质量指标和配比–损失实验；问题二的 B 数据主要用于标度律拟合，其中 B6–B8 是基于真实数据校准的半合成补充；问题三把前两问得到的响应面作为代理目标；问题四分析独立的模型能力与开源演化数据。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1599A5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1A80FB13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问题</w:t>
            </w:r>
          </w:p>
        </w:tc>
        <w:tc>
          <w:tcPr>
            <w:tcW w:w="2835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7D675B83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主要输入</w:t>
            </w:r>
          </w:p>
        </w:tc>
        <w:tc>
          <w:tcPr>
            <w:tcW w:w="238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7A6B5EE8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核心输出</w:t>
            </w:r>
          </w:p>
        </w:tc>
        <w:tc>
          <w:tcPr>
            <w:tcW w:w="2069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24F7A635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验证口径</w:t>
            </w:r>
          </w:p>
        </w:tc>
      </w:tr>
      <w:tr w14:paraId="09154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02732991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问题一</w:t>
            </w:r>
          </w:p>
        </w:tc>
        <w:tc>
          <w:tcPr>
            <w:tcW w:w="2835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7284F682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A1–A3质量样本；A4–A15配比–损失表</w:t>
            </w:r>
          </w:p>
        </w:tc>
        <w:tc>
          <w:tcPr>
            <w:tcW w:w="238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3DA8F5F9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七域质量Q、语义修正、M1/M2回归</w:t>
            </w:r>
          </w:p>
        </w:tc>
        <w:tc>
          <w:tcPr>
            <w:tcW w:w="2069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20C4EBFA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训练/测试、嵌套交叉验证、跨尺度诊断</w:t>
            </w:r>
          </w:p>
        </w:tc>
      </w:tr>
      <w:tr w14:paraId="22113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3576E783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问题二</w:t>
            </w:r>
          </w:p>
        </w:tc>
        <w:tc>
          <w:tcPr>
            <w:tcW w:w="2835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093020E4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B1–B8；Q1导出的M2与H*</w:t>
            </w:r>
          </w:p>
        </w:tc>
        <w:tc>
          <w:tcPr>
            <w:tcW w:w="238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3163B3E7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经典与广义标度律、六项拟合比较</w:t>
            </w:r>
          </w:p>
        </w:tc>
        <w:tc>
          <w:tcPr>
            <w:tcW w:w="2069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7271680C"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按(N,D)分组五折、N/D留出、B6→B7、B8迁移</w:t>
            </w:r>
          </w:p>
        </w:tc>
      </w:tr>
      <w:tr w14:paraId="5B5733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0D3939B1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问题三</w:t>
            </w:r>
          </w:p>
        </w:tc>
        <w:tc>
          <w:tcPr>
            <w:tcW w:w="2835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4DEA78B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问题二选优公式、预算与成本假设</w:t>
            </w:r>
          </w:p>
        </w:tc>
        <w:tc>
          <w:tcPr>
            <w:tcW w:w="238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78F243E1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N、D、Q、p最优配置</w:t>
            </w:r>
          </w:p>
        </w:tc>
        <w:tc>
          <w:tcPr>
            <w:tcW w:w="2069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61596841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PSO与SLSQP、固定/自由配比、条件前后</w:t>
            </w:r>
          </w:p>
        </w:tc>
      </w:tr>
      <w:tr w14:paraId="144D8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6BEFEB8D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问题四</w:t>
            </w:r>
          </w:p>
        </w:tc>
        <w:tc>
          <w:tcPr>
            <w:tcW w:w="2835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67E834ED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C1、C3、C4、C6、C8</w:t>
            </w:r>
          </w:p>
        </w:tc>
        <w:tc>
          <w:tcPr>
            <w:tcW w:w="238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7884C0F5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能力前沿、分解、桥接和情景预测</w:t>
            </w:r>
          </w:p>
        </w:tc>
        <w:tc>
          <w:tcPr>
            <w:tcW w:w="2069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08401E78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回归拟合、分组误差、情景扰动</w:t>
            </w:r>
          </w:p>
        </w:tc>
      </w:tr>
    </w:tbl>
    <w:p w14:paraId="67156281">
      <w:pPr>
        <w:spacing w:after="40"/>
      </w:pPr>
    </w:p>
    <w:p w14:paraId="717B6A76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整体流程先用质量指标得到域内质量 Q，再用配比实验建立 p 对损失的代理响应 H(p)。问题二中不重复读取 A 原始文件，而是读取问题一导出的 M2 参数和最优配比；问题三再将选优标度律和 H(p) 组合为约束优化目标。这样做保持了实验来源的独立性，但也把跨来源迁移作为必须明确写出的模型假设。</w:t>
      </w:r>
    </w:p>
    <w:p w14:paraId="72BDD50B">
      <w:pPr>
        <w:keepNext/>
        <w:spacing w:before="60" w:after="100"/>
        <w:jc w:val="center"/>
      </w:pPr>
      <m:oMath>
        <m:r>
          <m:rPr/>
          <m:t>L</m:t>
        </m:r>
        <m:r>
          <m:rPr>
            <m:sty m:val="p"/>
          </m:rPr>
          <m:t>=</m:t>
        </m:r>
        <m:r>
          <m:rPr/>
          <m:t>L</m:t>
        </m:r>
        <m:sSub>
          <m:sSubPr/>
          <m:e>
            <m:r>
              <m:rPr/>
              <m:t>scale</m:t>
            </m:r>
          </m:e>
          <m:sub/>
        </m:sSub>
        <m:r>
          <m:rPr>
            <m:sty m:val="p"/>
          </m:rPr>
          <m:t>+</m:t>
        </m:r>
        <m:r>
          <m:rPr/>
          <m:t>lambdaH</m:t>
        </m:r>
        <m:r>
          <m:rPr>
            <m:sty m:val="p"/>
          </m:rPr>
          <m:t>(</m:t>
        </m:r>
        <m:r>
          <m:rPr/>
          <m:t>p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000000"/>
          <w:sz w:val="19"/>
        </w:rPr>
        <w:t xml:space="preserve">  （总体代理结构）</w:t>
      </w:r>
    </w:p>
    <w:p w14:paraId="1C09D991">
      <w:pPr>
        <w:pStyle w:val="2"/>
      </w:pPr>
      <w:bookmarkStart w:id="4" w:name="_Toc26862"/>
      <w:r>
        <w:rPr>
          <w:rFonts w:ascii="黑体" w:hAnsi="黑体" w:eastAsia="黑体"/>
          <w:b/>
          <w:i w:val="0"/>
          <w:color w:val="000000"/>
          <w:sz w:val="28"/>
        </w:rPr>
        <w:t>2 数据、符号与模型假设</w:t>
      </w:r>
      <w:bookmarkEnd w:id="4"/>
    </w:p>
    <w:p w14:paraId="0D01608C">
      <w:pPr>
        <w:pStyle w:val="32"/>
      </w:pPr>
      <w:r>
        <w:rPr>
          <w:rFonts w:ascii="黑体" w:hAnsi="黑体" w:eastAsia="黑体"/>
          <w:b/>
          <w:i w:val="0"/>
          <w:color w:val="000000"/>
          <w:sz w:val="23"/>
        </w:rPr>
        <w:t>2.1 数据范围与变量定义</w:t>
      </w:r>
    </w:p>
    <w:p w14:paraId="7A454BA2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A 质量数据包含 A1–A3 共 272,505 条记录，其中 arxiv 17,523 条、github 203,752 条，第三个 A3 数据按项目清单合并。七个质量域的样本数为 arxiv 18,942、book 171、c4 10,000、commoncrawl 9,640、github 213,752、stackexchange 10,000、wikipedia 10,000。github 占比约 78.44%，因此全体样本直接求均值会被单一域主导。质量指标固定为项目当前的 22 个字段，不加入截图中的额外 QuRating 子维度；若某语义冲突字段不存在，则该冲突对跳过。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0AC0C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0A0A5CF8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指标序号</w:t>
            </w:r>
          </w:p>
        </w:tc>
        <w:tc>
          <w:tcPr>
            <w:tcW w:w="467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2BF26BCF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字段名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09B64E09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输入形态</w:t>
            </w:r>
          </w:p>
        </w:tc>
        <w:tc>
          <w:tcPr>
            <w:tcW w:w="158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5A0DFA51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解释</w:t>
            </w:r>
          </w:p>
        </w:tc>
      </w:tr>
      <w:tr w14:paraId="22550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1768910A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1–3</w:t>
            </w:r>
          </w:p>
        </w:tc>
        <w:tc>
          <w:tcPr>
            <w:tcW w:w="467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001CF39F"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dsir_books；dsir_wiki；dsir_math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69505DE9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标量</w:t>
            </w:r>
          </w:p>
        </w:tc>
        <w:tc>
          <w:tcPr>
            <w:tcW w:w="158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283EBA61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语料分布相似度</w:t>
            </w:r>
          </w:p>
        </w:tc>
      </w:tr>
      <w:tr w14:paraId="4711C0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20F8842A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4–7</w:t>
            </w:r>
          </w:p>
        </w:tc>
        <w:tc>
          <w:tcPr>
            <w:tcW w:w="467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1EF6B80D"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rps_doc_word_count；rps_doc_num_sentences；rps_doc_unigram_entropy；rps_doc_frac_unique_words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37F022BB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标量</w:t>
            </w:r>
          </w:p>
        </w:tc>
        <w:tc>
          <w:tcPr>
            <w:tcW w:w="158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5282DBC2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长度与词汇统计</w:t>
            </w:r>
          </w:p>
        </w:tc>
      </w:tr>
      <w:tr w14:paraId="24DE06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563609CB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8–10</w:t>
            </w:r>
          </w:p>
        </w:tc>
        <w:tc>
          <w:tcPr>
            <w:tcW w:w="467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6372B564"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rps_doc_frac_no_alph_words；rps_doc_frac_chars_top_2gram；rps_doc_frac_chars_top_3gram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40EC972A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标量</w:t>
            </w:r>
          </w:p>
        </w:tc>
        <w:tc>
          <w:tcPr>
            <w:tcW w:w="158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5A3B097C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字符与非字母比例</w:t>
            </w:r>
          </w:p>
        </w:tc>
      </w:tr>
      <w:tr w14:paraId="76AD1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64581B70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11–14</w:t>
            </w:r>
          </w:p>
        </w:tc>
        <w:tc>
          <w:tcPr>
            <w:tcW w:w="467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53FE522D"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rps_lines_uppercase_letter_fraction；rps_lines_ending_with_terminal_punctution_mark；rps_lines_numerical_chars_fraction；rps_doc_mean_word_length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6EBD867F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标量</w:t>
            </w:r>
          </w:p>
        </w:tc>
        <w:tc>
          <w:tcPr>
            <w:tcW w:w="158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393242F2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行级和词级统计</w:t>
            </w:r>
          </w:p>
        </w:tc>
      </w:tr>
      <w:tr w14:paraId="09932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2F6113E2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15–18</w:t>
            </w:r>
          </w:p>
        </w:tc>
        <w:tc>
          <w:tcPr>
            <w:tcW w:w="467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6D23AD0B"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fineweb_edu；fluency_en；modernbert_cleanliness；modernbert_readability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07AB30B7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列表均值</w:t>
            </w:r>
          </w:p>
        </w:tc>
        <w:tc>
          <w:tcPr>
            <w:tcW w:w="158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5B937354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教育性与可读性</w:t>
            </w:r>
          </w:p>
        </w:tc>
      </w:tr>
      <w:tr w14:paraId="1EC32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5F594E2F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19–22</w:t>
            </w:r>
          </w:p>
        </w:tc>
        <w:tc>
          <w:tcPr>
            <w:tcW w:w="467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59990CC9"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modernbert_reasoning；modernbert_professionalism；qurater；ad_en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32E29342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列表均值</w:t>
            </w:r>
          </w:p>
        </w:tc>
        <w:tc>
          <w:tcPr>
            <w:tcW w:w="158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6F36EAF0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推理、专业、质量与广告信号</w:t>
            </w:r>
          </w:p>
        </w:tc>
      </w:tr>
    </w:tbl>
    <w:p w14:paraId="194AC490">
      <w:pPr>
        <w:spacing w:after="40"/>
      </w:pPr>
    </w:p>
    <w:p w14:paraId="521C7B53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记 N、D、Q、p 分别为模型参数规模、训练数据量、质量分数和 17 维领域配比；L 为交叉熵损失，E 为固定的 B1 经验基线。质量域数 7、配方域数 17、损失域数 13 并不相同，当前实现没有伪造七域到十七域的质量映射。A 的七域质量用于质量校准，A 的 17 域配方用于 M2 的 H(p)，B 的 Q 仍使用其原始 Q_score。</w:t>
      </w:r>
    </w:p>
    <w:p w14:paraId="00E44600">
      <w:pPr>
        <w:pStyle w:val="32"/>
      </w:pPr>
      <w:r>
        <w:rPr>
          <w:rFonts w:ascii="黑体" w:hAnsi="黑体" w:eastAsia="黑体"/>
          <w:b/>
          <w:i w:val="0"/>
          <w:color w:val="000000"/>
          <w:sz w:val="23"/>
        </w:rPr>
        <w:t>2.2 需要承担的假设</w:t>
      </w:r>
    </w:p>
    <w:p w14:paraId="2226DF17">
      <w:pPr>
        <w:pStyle w:val="36"/>
        <w:spacing w:after="40"/>
        <w:ind w:left="42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质量方向假设：在每个质量域内，指标的正、负或中性方向由 direction_mapping.csv 指定。方向设置可以因域而异，但归一化分位点、熵权和 CRITIC 权重仍在全体合并样本上计算；因此“分领域方向化”不是对七个域分别重新标准化，也不是给每个域重新赋一套权重。</w:t>
      </w:r>
    </w:p>
    <w:p w14:paraId="0C5802FE">
      <w:pPr>
        <w:pStyle w:val="36"/>
        <w:spacing w:after="40"/>
        <w:ind w:left="42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Q 与 p 的控制假设：在当前代理模型中，Q 表示在给定配比下通过筛选、清洗或域内处理可改变的平均质量，p 表示覆盖与任务适配。二者可在优化器中作为两个控制变量输入，但这只是可分离的工程近似，不是统计独立性结论。若另行规定 q_k 固定且 Q=Σp_k q_k，则 Q 已由 p 决定，不能继续把 Q、p 当作两个自由变量。</w:t>
      </w:r>
    </w:p>
    <w:p w14:paraId="1A8CD2C1">
      <w:pPr>
        <w:pStyle w:val="36"/>
        <w:spacing w:after="40"/>
        <w:ind w:left="42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H* 迁移假设：H(p) 由 A 中 13 个损失域的 M2 预测构造，H* 是最优配比相对于均匀 17 域配比的预测损失差。问题二把每条 B 记录的 H 都设为同一个 H*，等价于假设 B 的每个样本都处于 A 的最优配比情景，而不是声称观测到 B 的实际 p。</w:t>
      </w:r>
    </w:p>
    <w:p w14:paraId="751D9310">
      <w:pPr>
        <w:pStyle w:val="36"/>
        <w:spacing w:after="40"/>
        <w:ind w:left="42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可识别性假设：因为 B 行的 H* 相同，E+lambda H* 是一个有效截距，lambda 与 E 的组合不能从 B 单独识别出真实配比效应。将 lambda 解释为配比迁移强度，需要 B 中有逐行配比或至少有多种配比条件的观测。</w:t>
      </w:r>
    </w:p>
    <w:p w14:paraId="26688D1A">
      <w:pPr>
        <w:pStyle w:val="36"/>
        <w:spacing w:after="40"/>
        <w:ind w:left="42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外推假设：将 A 的 H(p) 形状迁移到 B，再迁移到问题三的预算场景，要求损失域定义、训练协议和质量尺度在来源之间可比。B6–B8 为半合成补充集，10B、70B 的 A 记录是估计数据，因此相关结论只能称为模型诊断或情景结果。</w:t>
      </w:r>
    </w:p>
    <w:p w14:paraId="433A559A">
      <w:pPr>
        <w:pStyle w:val="36"/>
        <w:spacing w:after="40"/>
        <w:ind w:left="42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优化解释假设：成本函数、边界和上下文长度是代理设定，不是一次真实训练实验。PSO 与 SLSQP 的差异反映在给定参数化和目标函数上的数值求解表现，不自动转化为训练收益或因果结论。</w:t>
      </w:r>
    </w:p>
    <w:p w14:paraId="2FB803E5">
      <w:pPr>
        <w:pStyle w:val="2"/>
      </w:pPr>
      <w:bookmarkStart w:id="5" w:name="_Toc1054"/>
      <w:r>
        <w:rPr>
          <w:rFonts w:ascii="黑体" w:hAnsi="黑体" w:eastAsia="黑体"/>
          <w:b/>
          <w:i w:val="0"/>
          <w:color w:val="000000"/>
          <w:sz w:val="28"/>
        </w:rPr>
        <w:t>3 问题一 质量建模与配比回归</w:t>
      </w:r>
      <w:bookmarkEnd w:id="5"/>
    </w:p>
    <w:p w14:paraId="18F2914D">
      <w:pPr>
        <w:pStyle w:val="32"/>
      </w:pPr>
      <w:r>
        <w:rPr>
          <w:rFonts w:ascii="黑体" w:hAnsi="黑体" w:eastAsia="黑体"/>
          <w:b/>
          <w:i w:val="0"/>
          <w:color w:val="000000"/>
          <w:sz w:val="23"/>
        </w:rPr>
        <w:t>3.1 指标预处理与领域方向</w:t>
      </w:r>
    </w:p>
    <w:p w14:paraId="4628540B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对每个指标先用全体记录的 1% 和 99% 分位点裁剪，再做 min–max 归一化得到 u。正向指标取 P=u，负向指标取 N=1−u，中性指标取 0.5。方向矩阵由七个质量域分别指定，域之间允许不同方向。例如字符重复度、过多非字母字符、异常大写比例等通常按负向使用；教育性、流畅性和可读性等按正向使用。方向有争议的字段不会被解释为已经得到外部盲评证明，结果仅表示在当前规则下的敏感性。</w:t>
      </w:r>
    </w:p>
    <w:p w14:paraId="1E21A088">
      <w:pPr>
        <w:keepNext/>
        <w:spacing w:before="80" w:after="40"/>
        <w:jc w:val="center"/>
      </w:pPr>
      <w:r>
        <w:drawing>
          <wp:inline distT="0" distB="0" distL="114300" distR="114300">
            <wp:extent cx="2847975" cy="2591435"/>
            <wp:effectExtent l="0" t="0" r="9525" b="18415"/>
            <wp:docPr id="1" name="Picture 1" descr="图3-1 七个质量域的指标方向矩阵" title="图3-1 七个质量域的指标方向矩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3-1 七个质量域的指标方向矩阵" title="图3-1 七个质量域的指标方向矩阵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8351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A77A">
      <w:pPr>
        <w:keepNext/>
        <w:spacing w:before="4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图3-1 七个质量域的指标方向矩阵</w:t>
      </w:r>
    </w:p>
    <w:p w14:paraId="09447588">
      <w:pPr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555555"/>
          <w:sz w:val="19"/>
        </w:rPr>
        <w:t>矩阵显示的是方向规则，而不是域内重新训练的权重。统一归一化保证域间可比，域特定方向负责表达同一指标在不同文本类型中的含义差异。</w:t>
      </w:r>
    </w:p>
    <w:p w14:paraId="3B71A196">
      <w:pPr>
        <w:keepNext/>
        <w:spacing w:before="80" w:after="40"/>
        <w:jc w:val="center"/>
      </w:pPr>
      <w:r>
        <w:drawing>
          <wp:inline distT="0" distB="0" distL="114300" distR="114300">
            <wp:extent cx="5273675" cy="2442845"/>
            <wp:effectExtent l="0" t="0" r="3175" b="14605"/>
            <wp:docPr id="2" name="Picture 2" descr="图3-2 原始方向与分领域方向的域质量比较" title="图3-2 原始方向与分领域方向的域质量比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3-2 原始方向与分领域方向的域质量比较" title="图3-2 原始方向与分领域方向的域质量比较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44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CE88">
      <w:pPr>
        <w:keepNext/>
        <w:spacing w:before="4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图3-2 原始方向与分领域方向的域质量比较</w:t>
      </w:r>
    </w:p>
    <w:p w14:paraId="58D21753">
      <w:pPr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555555"/>
          <w:sz w:val="19"/>
        </w:rPr>
        <w:t>分领域方向使 github、stackexchange、wikipedia 的分数明显上升，而 arxiv、book 下降；这主要来自方向规则改变，不应直接等同于真实质量提升。</w:t>
      </w:r>
    </w:p>
    <w:p w14:paraId="0E7807A0">
      <w:pPr>
        <w:keepNext/>
        <w:spacing w:before="80" w:after="40"/>
        <w:jc w:val="center"/>
      </w:pPr>
      <w:r>
        <w:drawing>
          <wp:inline distT="0" distB="0" distL="114300" distR="114300">
            <wp:extent cx="3160395" cy="2591435"/>
            <wp:effectExtent l="0" t="0" r="1905" b="18415"/>
            <wp:docPr id="3" name="Picture 3" descr="图3-3 指标权重比较" title="图3-3 指标权重比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3-3 指标权重比较" title="图3-3 指标权重比较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0975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48B7">
      <w:pPr>
        <w:keepNext/>
        <w:spacing w:before="4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图3-3 指标权重比较</w:t>
      </w:r>
    </w:p>
    <w:p w14:paraId="66248C9E">
      <w:pPr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555555"/>
          <w:sz w:val="19"/>
        </w:rPr>
        <w:t>熵权与 modified CRITIC 各占一半。全体样本被 github 主导，权重变化与方向变化共同作用于最终排序。</w:t>
      </w:r>
    </w:p>
    <w:p w14:paraId="57E1116C">
      <w:pPr>
        <w:keepNext/>
        <w:spacing w:before="80" w:after="40"/>
        <w:jc w:val="center"/>
      </w:pPr>
      <w:r>
        <w:drawing>
          <wp:inline distT="0" distB="0" distL="114300" distR="114300">
            <wp:extent cx="4805045" cy="2591435"/>
            <wp:effectExtent l="0" t="0" r="14605" b="18415"/>
            <wp:docPr id="4" name="Picture 4" descr="图3-4 抽样记录的质量分数比较" title="图3-4 抽样记录的质量分数比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3-4 抽样记录的质量分数比较" title="图3-4 抽样记录的质量分数比较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5605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3B93">
      <w:pPr>
        <w:keepNext/>
        <w:spacing w:before="4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图3-4 抽样记录的质量分数比较</w:t>
      </w:r>
    </w:p>
    <w:p w14:paraId="5877FA01">
      <w:pPr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555555"/>
          <w:sz w:val="19"/>
        </w:rPr>
        <w:t>抽样层面展示了方向修改对个体质量分数的影响，说明域内规则会改变样本排序而不仅是改变域均值。</w:t>
      </w:r>
    </w:p>
    <w:p w14:paraId="4062448C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组合权重取熵权与 modified CRITIC 的平均。CRITIC 部分使用标准差乘以与其他指标的 Spearman 非相关度。质量主分数是加权和，TOPSIS 作为补充排序。全体方向与分领域方向的域均值如下，数值来自 main_domain_quality.csv 的 Q0 列。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14:paraId="36937D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6DBBCDF1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质量域</w:t>
            </w:r>
          </w:p>
        </w:tc>
        <w:tc>
          <w:tcPr>
            <w:tcW w:w="102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6FFC5464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n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0431B19F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原始Q</w:t>
            </w:r>
          </w:p>
        </w:tc>
        <w:tc>
          <w:tcPr>
            <w:tcW w:w="124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2B45A67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分领域Q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7E3565DD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变化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17B9A892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原始排名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4D448773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新排名</w:t>
            </w:r>
          </w:p>
        </w:tc>
      </w:tr>
      <w:tr w14:paraId="50F78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23BD33DE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arxiv</w:t>
            </w:r>
          </w:p>
        </w:tc>
        <w:tc>
          <w:tcPr>
            <w:tcW w:w="102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0B9E9DC8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18,942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3240C047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0.463</w:t>
            </w:r>
          </w:p>
        </w:tc>
        <w:tc>
          <w:tcPr>
            <w:tcW w:w="124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362C1E40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0.463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091C2583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0.000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22545E92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7DD6104A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7</w:t>
            </w:r>
          </w:p>
        </w:tc>
      </w:tr>
      <w:tr w14:paraId="60DC0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74385DB2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book</w:t>
            </w:r>
          </w:p>
        </w:tc>
        <w:tc>
          <w:tcPr>
            <w:tcW w:w="102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23748A2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171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6152CA84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0.583</w:t>
            </w:r>
          </w:p>
        </w:tc>
        <w:tc>
          <w:tcPr>
            <w:tcW w:w="124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2F2B7B73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0.583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1DB54D58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0.000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732EAF5D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2AC859BE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2</w:t>
            </w:r>
          </w:p>
        </w:tc>
      </w:tr>
      <w:tr w14:paraId="4ABD9B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4102E9C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c4</w:t>
            </w:r>
          </w:p>
        </w:tc>
        <w:tc>
          <w:tcPr>
            <w:tcW w:w="102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05BB93B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10,000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234A0923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0.429</w:t>
            </w:r>
          </w:p>
        </w:tc>
        <w:tc>
          <w:tcPr>
            <w:tcW w:w="124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2B4C9C65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0.482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4C7D2C75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0.053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1C41E6D5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72E559E8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5</w:t>
            </w:r>
          </w:p>
        </w:tc>
      </w:tr>
      <w:tr w14:paraId="54B36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76F86A0A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commoncrawl</w:t>
            </w:r>
          </w:p>
        </w:tc>
        <w:tc>
          <w:tcPr>
            <w:tcW w:w="102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4F63A89E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9,640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20917A4B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0.408</w:t>
            </w:r>
          </w:p>
        </w:tc>
        <w:tc>
          <w:tcPr>
            <w:tcW w:w="124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29241EC9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0.499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04B5912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0.092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430F187E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1ACD13BF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4</w:t>
            </w:r>
          </w:p>
        </w:tc>
      </w:tr>
      <w:tr w14:paraId="67F04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27DFFA48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github</w:t>
            </w:r>
          </w:p>
        </w:tc>
        <w:tc>
          <w:tcPr>
            <w:tcW w:w="102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15285F61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213,752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2E58DB51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0.386</w:t>
            </w:r>
          </w:p>
        </w:tc>
        <w:tc>
          <w:tcPr>
            <w:tcW w:w="124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45F8555A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0.599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2082660E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0.213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519D59C4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1FD67041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</w:t>
            </w:r>
          </w:p>
        </w:tc>
      </w:tr>
      <w:tr w14:paraId="2FA3A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4B036DA1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stackexchange</w:t>
            </w:r>
          </w:p>
        </w:tc>
        <w:tc>
          <w:tcPr>
            <w:tcW w:w="102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00946DF3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10,000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3A43C7E9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0.339</w:t>
            </w:r>
          </w:p>
        </w:tc>
        <w:tc>
          <w:tcPr>
            <w:tcW w:w="124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58848B1E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0.475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7E58A84B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0.136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23FD180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12A2C0DA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6</w:t>
            </w:r>
          </w:p>
        </w:tc>
      </w:tr>
      <w:tr w14:paraId="1C784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157E9B2B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wikipedia</w:t>
            </w:r>
          </w:p>
        </w:tc>
        <w:tc>
          <w:tcPr>
            <w:tcW w:w="102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28F0EC4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10,000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4663BBB1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0.365</w:t>
            </w:r>
          </w:p>
        </w:tc>
        <w:tc>
          <w:tcPr>
            <w:tcW w:w="124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1C5581E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0.518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36E7BFCF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0.153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49B52585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033A911B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3</w:t>
            </w:r>
          </w:p>
        </w:tc>
      </w:tr>
    </w:tbl>
    <w:p w14:paraId="4E5D2E42">
      <w:pPr>
        <w:spacing w:after="40"/>
      </w:pPr>
    </w:p>
    <w:p w14:paraId="675C758F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原始排序为 book、arxiv、c4、commoncrawl、github、wikipedia、stackexchange；分领域方向后为 github、book、wikipedia、commoncrawl、c4、stackexchange、arxiv。ALL 样本新旧质量的 Spearman 相关约 0.150，top-10 重合约 0.086，说明方向规则是实质性改变，而非微小数值修补。该结果支持开展敏感性分析，但不支持在没有外部质量标签时断言新排序必然更正确。</w:t>
      </w:r>
    </w:p>
    <w:p w14:paraId="280BCB9C">
      <w:pPr>
        <w:keepNext/>
        <w:spacing w:before="80" w:after="40"/>
        <w:jc w:val="center"/>
      </w:pPr>
      <w:r>
        <w:drawing>
          <wp:inline distT="0" distB="0" distL="114300" distR="114300">
            <wp:extent cx="5273675" cy="2225675"/>
            <wp:effectExtent l="0" t="0" r="3175" b="3175"/>
            <wp:docPr id="5" name="Picture 5" descr="图3-5 冲突样本的旧方法与语义修正比较" title="图3-5 冲突样本的旧方法与语义修正比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3-5 冲突样本的旧方法与语义修正比较" title="图3-5 冲突样本的旧方法与语义修正比较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22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562D">
      <w:pPr>
        <w:keepNext/>
        <w:spacing w:before="4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图3-5 冲突样本的旧方法与语义修正比较</w:t>
      </w:r>
    </w:p>
    <w:p w14:paraId="5145ABC1">
      <w:pPr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555555"/>
          <w:sz w:val="19"/>
        </w:rPr>
        <w:t>旧方法按每条冲突记录删除最低三项、最高三项后聚合；新方法保留样本并施加连续惩罚。两者改变的是冲突处理，不是 22 指标集合。</w:t>
      </w:r>
    </w:p>
    <w:p w14:paraId="20D0BB4C">
      <w:pPr>
        <w:keepNext/>
        <w:spacing w:before="80" w:after="40"/>
        <w:jc w:val="center"/>
      </w:pPr>
      <w:r>
        <w:drawing>
          <wp:inline distT="0" distB="0" distL="114300" distR="114300">
            <wp:extent cx="5273675" cy="2442845"/>
            <wp:effectExtent l="0" t="0" r="3175" b="14605"/>
            <wp:docPr id="6" name="Picture 6" descr="图3-6 质量分数变化分解" title="图3-6 质量分数变化分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3-6 质量分数变化分解" title="图3-6 质量分数变化分解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44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A783">
      <w:pPr>
        <w:keepNext/>
        <w:spacing w:before="4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图3-6 质量分数变化分解</w:t>
      </w:r>
    </w:p>
    <w:p w14:paraId="5E228829">
      <w:pPr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555555"/>
          <w:sz w:val="19"/>
        </w:rPr>
        <w:t>分解显示方向变化、权重变化和冲突修正的相对贡献。固定顺序分解是解释性分解，并非因果贡献。</w:t>
      </w:r>
    </w:p>
    <w:p w14:paraId="45EFD21C">
      <w:pPr>
        <w:keepNext/>
        <w:spacing w:before="80" w:after="40"/>
        <w:jc w:val="center"/>
      </w:pPr>
      <w:r>
        <w:drawing>
          <wp:inline distT="0" distB="0" distL="114300" distR="114300">
            <wp:extent cx="5273675" cy="2225675"/>
            <wp:effectExtent l="0" t="0" r="3175" b="3175"/>
            <wp:docPr id="7" name="Picture 7" descr="图3-7 排名稳定性" title="图3-7 排名稳定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图3-7 排名稳定性" title="图3-7 排名稳定性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22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148C">
      <w:pPr>
        <w:keepNext/>
        <w:spacing w:before="4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图3-7 排名稳定性</w:t>
      </w:r>
    </w:p>
    <w:p w14:paraId="6EFE7CE8">
      <w:pPr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555555"/>
          <w:sz w:val="19"/>
        </w:rPr>
        <w:t>排名相关和 top-k 重合度用于判断方法敏感性；低重合意味着规则选择必须在报告中透明披露。</w:t>
      </w:r>
    </w:p>
    <w:p w14:paraId="5DF04A12">
      <w:pPr>
        <w:pStyle w:val="32"/>
      </w:pPr>
      <w:r>
        <w:rPr>
          <w:rFonts w:ascii="黑体" w:hAnsi="黑体" w:eastAsia="黑体"/>
          <w:b/>
          <w:i w:val="0"/>
          <w:color w:val="000000"/>
          <w:sz w:val="23"/>
        </w:rPr>
        <w:t>3.2 两段式语义冲突修正</w:t>
      </w:r>
    </w:p>
    <w:p w14:paraId="06B56DE5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原始冲突对共 11 对，但当前 22 个字段中只有 6 对的字段同时存在，缺失字段不以聚合值代替，而是直接跳过。对一条记录，若一对指标的归一化方向值一高一低，且最高值不小于 0.8、最低值不大于 0.2，则记为强冲突。冲突强度按差值超过 0.6 的部分线性计算，并乘以合并数据的有效冲突率。</w:t>
      </w:r>
    </w:p>
    <w:p w14:paraId="49CADA33">
      <w:pPr>
        <w:keepNext/>
        <w:spacing w:before="60" w:after="100"/>
        <w:jc w:val="center"/>
      </w:pPr>
      <m:oMath>
        <m:r>
          <m:rPr/>
          <m:t>S</m:t>
        </m:r>
        <m:r>
          <m:rPr>
            <m:sty m:val="p"/>
          </m:rPr>
          <m:t>=</m:t>
        </m:r>
        <m:r>
          <m:rPr/>
          <m:t>C</m:t>
        </m:r>
        <m:r>
          <m:rPr>
            <m:sty m:val="p"/>
          </m:rPr>
          <m:t>(</m:t>
        </m:r>
        <m:f>
          <m:fPr/>
          <m:num/>
          <m:den/>
        </m:f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000000"/>
          <w:sz w:val="19"/>
        </w:rPr>
        <w:t xml:space="preserve">  （冲突强度）</w:t>
      </w:r>
    </w:p>
    <w:p w14:paraId="5FBFA7A1">
      <w:pPr>
        <w:keepNext/>
        <w:spacing w:before="60" w:after="100"/>
        <w:jc w:val="center"/>
      </w:pPr>
      <m:oMath>
        <m:r>
          <m:rPr/>
          <m:t>T</m:t>
        </m:r>
        <m:sSub>
          <m:sSubPr/>
          <m:e>
            <m:r>
              <m:rPr/>
              <m:t>i</m:t>
            </m:r>
          </m:e>
          <m:sub/>
        </m:sSub>
        <m:r>
          <m:rPr>
            <m:sty m:val="p"/>
          </m:rPr>
          <m:t>=</m:t>
        </m:r>
        <m:f>
          <m:fPr/>
          <m:num/>
          <m:den/>
        </m:f>
        <m:nary>
          <m:naryPr>
            <m:chr m:val="∑"/>
            <m:limLoc m:val="undOvr"/>
          </m:naryPr>
          <m:sub/>
          <m:sup/>
          <m:e>
            <m:r>
              <m:rPr>
                <m:sty m:val="p"/>
              </m:rPr>
              <m:t>j,k</m:t>
            </m:r>
          </m:e>
        </m:nary>
      </m:oMath>
      <w:r>
        <w:rPr>
          <w:rFonts w:ascii="Times New Roman" w:hAnsi="Times New Roman" w:eastAsia="宋体"/>
          <w:b w:val="0"/>
          <w:i w:val="0"/>
          <w:color w:val="000000"/>
          <w:sz w:val="19"/>
        </w:rPr>
        <w:t xml:space="preserve">  （语义扣减）</w:t>
      </w:r>
    </w:p>
    <w:p w14:paraId="3C4511B8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代码保留了连续熵扣减与语义扣减的接口：Q_after_entropy=Q0−lambda_E R_i，再减去 lambda_S T_i。由于当前项目没有逐样本熵罚分输入，实际主结果只计算 Q0−lambda_S T_i，并明确标为 Q_semantic_only；熵权赋权不能冒充熵罚分。默认演示参数为 alpha=0.5、lambda_S=0.1。该限制是方法边界，不应在报告中写成两段熵–语义修正已经被数据验证。</w:t>
      </w:r>
    </w:p>
    <w:p w14:paraId="480929E5">
      <w:pPr>
        <w:keepNext/>
        <w:spacing w:before="80" w:after="40"/>
        <w:jc w:val="center"/>
      </w:pPr>
      <w:r>
        <w:drawing>
          <wp:inline distT="0" distB="0" distL="114300" distR="114300">
            <wp:extent cx="3455670" cy="2591435"/>
            <wp:effectExtent l="0" t="0" r="11430" b="18415"/>
            <wp:docPr id="8" name="Picture 8" descr="图3-8 语义冲突修正前后的域质量" title="图3-8 语义冲突修正前后的域质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图3-8 语义冲突修正前后的域质量" title="图3-8 语义冲突修正前后的域质量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1A8A">
      <w:pPr>
        <w:keepNext/>
        <w:spacing w:before="4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图3-8 语义冲突修正前后的域质量</w:t>
      </w:r>
    </w:p>
    <w:p w14:paraId="5E8D48BB">
      <w:pPr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555555"/>
          <w:sz w:val="19"/>
        </w:rPr>
        <w:t>book 和 arxiv 因冲突率较高而扣减更多，c4 与 commoncrawl 的变化较小；扣减是规则输出，不等价于发现这些域真实质量更低。</w:t>
      </w:r>
    </w:p>
    <w:p w14:paraId="5D8188CD">
      <w:pPr>
        <w:keepNext/>
        <w:spacing w:before="80" w:after="40"/>
        <w:jc w:val="center"/>
      </w:pPr>
      <w:r>
        <w:drawing>
          <wp:inline distT="0" distB="0" distL="114300" distR="114300">
            <wp:extent cx="5273675" cy="2259965"/>
            <wp:effectExtent l="0" t="0" r="3175" b="6985"/>
            <wp:docPr id="9" name="Picture 9" descr="图3-9 有效语义冲突对的冲突率" title="图3-9 有效语义冲突对的冲突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图3-9 有效语义冲突对的冲突率" title="图3-9 有效语义冲突对的冲突率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26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1E17">
      <w:pPr>
        <w:keepNext/>
        <w:spacing w:before="4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图3-9 有效语义冲突对的冲突率</w:t>
      </w:r>
    </w:p>
    <w:p w14:paraId="69CC1A05">
      <w:pPr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555555"/>
          <w:sz w:val="19"/>
        </w:rPr>
        <w:t>fluency–readability、字符二元/三元比例、unique–entropy、terminal punctuation–fluency 等六对参与计算。缺失的 QuRating 子字段按接口要求跳过。</w:t>
      </w:r>
    </w:p>
    <w:p w14:paraId="758E45B4">
      <w:pPr>
        <w:keepNext/>
        <w:spacing w:before="80" w:after="40"/>
        <w:jc w:val="center"/>
      </w:pPr>
      <w:r>
        <w:drawing>
          <wp:inline distT="0" distB="0" distL="114300" distR="114300">
            <wp:extent cx="5273675" cy="2197100"/>
            <wp:effectExtent l="0" t="0" r="3175" b="12700"/>
            <wp:docPr id="10" name="Picture 10" descr="图3-10 语义扣减分布" title="图3-10 语义扣减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图3-10 语义扣减分布" title="图3-10 语义扣减分布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1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BBFA">
      <w:pPr>
        <w:keepNext/>
        <w:spacing w:before="4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图3-10 语义扣减分布</w:t>
      </w:r>
    </w:p>
    <w:p w14:paraId="09358C3B">
      <w:pPr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555555"/>
          <w:sz w:val="19"/>
        </w:rPr>
        <w:t>扣减分布展示长尾与域差异，提示统一 lambda 只是一种可解释的演示设置。</w:t>
      </w:r>
    </w:p>
    <w:p w14:paraId="491C985B">
      <w:pPr>
        <w:keepNext/>
        <w:spacing w:before="80" w:after="40"/>
        <w:jc w:val="center"/>
      </w:pPr>
      <w:r>
        <w:drawing>
          <wp:inline distT="0" distB="0" distL="114300" distR="114300">
            <wp:extent cx="5273675" cy="2197100"/>
            <wp:effectExtent l="0" t="0" r="3175" b="12700"/>
            <wp:docPr id="11" name="Picture 11" descr="图3-11 语义扣减参数敏感性" title="图3-11 语义扣减参数敏感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图3-11 语义扣减参数敏感性" title="图3-11 语义扣减参数敏感性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1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36B5">
      <w:pPr>
        <w:keepNext/>
        <w:spacing w:before="4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图3-11 语义扣减参数敏感性</w:t>
      </w:r>
    </w:p>
    <w:p w14:paraId="6E4A69F2">
      <w:pPr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555555"/>
          <w:sz w:val="19"/>
        </w:rPr>
        <w:t>alpha 和 lambda 的变化会改变排序与域均值。没有外部标签时，参数敏感性比单一参数点更有信息。</w:t>
      </w:r>
    </w:p>
    <w:p w14:paraId="08F1D513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最终主质量表中的 Q_new 为分领域方向加 Q_semantic_only。七个域的最终值为 arxiv 0.446712、book 0.555441、c4 0.481824、commoncrawl 0.497347、github 0.597022、stackexchange 0.474698、wikipedia 0.516852。arxiv、book、github 的平均扣减分别约 0.01697、0.02898、0.00218；扣减率高并不能证明域本身低质，因为它也可能表示两个指标的定义混合了长度或文本类型效应。</w:t>
      </w:r>
    </w:p>
    <w:p w14:paraId="244D6E56">
      <w:pPr>
        <w:pStyle w:val="32"/>
      </w:pPr>
      <w:r>
        <w:rPr>
          <w:rFonts w:ascii="黑体" w:hAnsi="黑体" w:eastAsia="黑体"/>
          <w:b/>
          <w:i w:val="0"/>
          <w:color w:val="000000"/>
          <w:sz w:val="23"/>
        </w:rPr>
        <w:t>3.3 问题一第三小问的配比–损失回归</w:t>
      </w:r>
    </w:p>
    <w:p w14:paraId="449297B6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17 个配方域、13 个损失域和 7 个质量域承担不同作用。A4/A5 的 1M、512 条配方用于训练，A6/A7 的 1M、256 条用于测试；A8/A9 为 60M，A10/A11 为 1B，A12–A15 为 10B 和 70B 的估计配方。配比数值按原文件读取，未把约 0.996–1.003 的舍入值强行重新归一化。</w:t>
      </w:r>
    </w:p>
    <w:p w14:paraId="2C5E412D">
      <w:pPr>
        <w:keepNext/>
        <w:spacing w:before="60" w:after="100"/>
        <w:jc w:val="center"/>
      </w:pPr>
      <m:oMath>
        <m:sSub>
          <m:sSubPr/>
          <m:e>
            <m:r>
              <m:rPr/>
              <m:t>L</m:t>
            </m:r>
          </m:e>
          <m:sub/>
        </m:sSub>
        <m:r>
          <m:rPr>
            <m:sty m:val="p"/>
          </m:rPr>
          <m:t>=</m:t>
        </m:r>
        <m:sSub>
          <m:sSubPr/>
          <m:e>
            <m:r>
              <m:rPr/>
              <m:t>c</m:t>
            </m:r>
          </m:e>
          <m:sub/>
        </m:sSub>
        <m:r>
          <m:rPr>
            <m:sty m:val="p"/>
          </m:rPr>
          <m:t>−</m:t>
        </m:r>
        <m:nary>
          <m:naryPr>
            <m:chr m:val="∑"/>
            <m:limLoc m:val="undOvr"/>
          </m:naryPr>
          <m:sub/>
          <m:sup/>
          <m:e>
            <m:r>
              <m:rPr>
                <m:sty m:val="p"/>
              </m:rPr>
              <m:t>k=1</m:t>
            </m:r>
          </m:e>
        </m:nary>
      </m:oMath>
      <w:r>
        <w:rPr>
          <w:rFonts w:ascii="Times New Roman" w:hAnsi="Times New Roman" w:eastAsia="宋体"/>
          <w:b w:val="0"/>
          <w:i w:val="0"/>
          <w:color w:val="000000"/>
          <w:sz w:val="19"/>
        </w:rPr>
        <w:t xml:space="preserve">  （M1共享系数）</w:t>
      </w:r>
    </w:p>
    <w:p w14:paraId="310DAC3D">
      <w:pPr>
        <w:keepNext/>
        <w:spacing w:before="60" w:after="100"/>
        <w:jc w:val="center"/>
      </w:pPr>
      <m:oMath>
        <m:sSub>
          <m:sSubPr/>
          <m:e>
            <m:r>
              <m:rPr/>
              <m:t>L</m:t>
            </m:r>
          </m:e>
          <m:sub/>
        </m:sSub>
        <m:r>
          <m:rPr>
            <m:sty m:val="p"/>
          </m:rPr>
          <m:t>=</m:t>
        </m:r>
        <m:sSub>
          <m:sSubPr/>
          <m:e>
            <m:r>
              <m:rPr/>
              <m:t>c</m:t>
            </m:r>
          </m:e>
          <m:sub/>
        </m:sSub>
        <m:r>
          <m:rPr>
            <m:sty m:val="p"/>
          </m:rPr>
          <m:t>+</m:t>
        </m:r>
        <m:nary>
          <m:naryPr>
            <m:chr m:val="∑"/>
            <m:limLoc m:val="undOvr"/>
          </m:naryPr>
          <m:sub/>
          <m:sup/>
          <m:e>
            <m:r>
              <m:rPr>
                <m:sty m:val="p"/>
              </m:rPr>
              <m:t>k=1</m:t>
            </m:r>
          </m:e>
        </m:nary>
      </m:oMath>
      <w:r>
        <w:rPr>
          <w:rFonts w:ascii="Times New Roman" w:hAnsi="Times New Roman" w:eastAsia="宋体"/>
          <w:b w:val="0"/>
          <w:i w:val="0"/>
          <w:color w:val="000000"/>
          <w:sz w:val="19"/>
        </w:rPr>
        <w:t xml:space="preserve">  （M2主模型）</w:t>
      </w:r>
    </w:p>
    <w:p w14:paraId="3891FCD9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M1 共享配比系数，M2 对每个损失域使用 b_kj 并通过 tau 控制低配比域的敏感度。岭回归包括原始 alpha=1 与在训练折内调参的 alpha。五折按配方组划分，嵌套交叉验证用于避免把测试信息带入超参数选择；跨尺度指标只是迁移诊断，10B 与 70B 的损失为估计值。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8DCD3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7F46BFEB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模型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58B33FFF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1M测试R²</w:t>
            </w:r>
          </w:p>
        </w:tc>
        <w:tc>
          <w:tcPr>
            <w:tcW w:w="124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6761431E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RMSE</w:t>
            </w:r>
          </w:p>
        </w:tc>
        <w:tc>
          <w:tcPr>
            <w:tcW w:w="136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35C2022B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Spearman</w:t>
            </w:r>
          </w:p>
        </w:tc>
        <w:tc>
          <w:tcPr>
            <w:tcW w:w="275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241BD3EA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解释</w:t>
            </w:r>
          </w:p>
        </w:tc>
      </w:tr>
      <w:tr w14:paraId="4A7D22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74D1D4DD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Ridge 原始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357AAB37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0.5782</w:t>
            </w:r>
          </w:p>
        </w:tc>
        <w:tc>
          <w:tcPr>
            <w:tcW w:w="124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5A391662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0.4740</w:t>
            </w:r>
          </w:p>
        </w:tc>
        <w:tc>
          <w:tcPr>
            <w:tcW w:w="136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7278FAE7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0.8141</w:t>
            </w:r>
          </w:p>
        </w:tc>
        <w:tc>
          <w:tcPr>
            <w:tcW w:w="275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29E3828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线性基线</w:t>
            </w:r>
          </w:p>
        </w:tc>
      </w:tr>
      <w:tr w14:paraId="6398A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6596AA5A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Ridge 调参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20DBE622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0.6185</w:t>
            </w:r>
          </w:p>
        </w:tc>
        <w:tc>
          <w:tcPr>
            <w:tcW w:w="124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38C87174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0.4539</w:t>
            </w:r>
          </w:p>
        </w:tc>
        <w:tc>
          <w:tcPr>
            <w:tcW w:w="136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74D9D1AB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0.8319</w:t>
            </w:r>
          </w:p>
        </w:tc>
        <w:tc>
          <w:tcPr>
            <w:tcW w:w="275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540DD723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alpha 在训练内选择</w:t>
            </w:r>
          </w:p>
        </w:tc>
      </w:tr>
      <w:tr w14:paraId="12832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251F912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M1 共享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74935893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0.0476</w:t>
            </w:r>
          </w:p>
        </w:tc>
        <w:tc>
          <w:tcPr>
            <w:tcW w:w="124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1FCA4717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0.6841</w:t>
            </w:r>
          </w:p>
        </w:tc>
        <w:tc>
          <w:tcPr>
            <w:tcW w:w="136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67466150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0.2804</w:t>
            </w:r>
          </w:p>
        </w:tc>
        <w:tc>
          <w:tcPr>
            <w:tcW w:w="275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7BB29EBC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共用 w，表达力不足</w:t>
            </w:r>
          </w:p>
        </w:tc>
      </w:tr>
      <w:tr w14:paraId="5815C3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2A6E0767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M1 独立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5D4621F0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0.7003</w:t>
            </w:r>
          </w:p>
        </w:tc>
        <w:tc>
          <w:tcPr>
            <w:tcW w:w="124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500AE90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0.4060</w:t>
            </w:r>
          </w:p>
        </w:tc>
        <w:tc>
          <w:tcPr>
            <w:tcW w:w="136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5EE06BC5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0.8623</w:t>
            </w:r>
          </w:p>
        </w:tc>
        <w:tc>
          <w:tcPr>
            <w:tcW w:w="275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3578BE0A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逐损失域 w_kj</w:t>
            </w:r>
          </w:p>
        </w:tc>
      </w:tr>
      <w:tr w14:paraId="34DD0B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1CC4019F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M2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799D9CE8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0.8832</w:t>
            </w:r>
          </w:p>
        </w:tc>
        <w:tc>
          <w:tcPr>
            <w:tcW w:w="124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56CC01EF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0.2224</w:t>
            </w:r>
          </w:p>
        </w:tc>
        <w:tc>
          <w:tcPr>
            <w:tcW w:w="136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77CE83C3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0.9460</w:t>
            </w:r>
          </w:p>
        </w:tc>
        <w:tc>
          <w:tcPr>
            <w:tcW w:w="275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4223DA10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主模型，tau=0.0003</w:t>
            </w:r>
          </w:p>
        </w:tc>
      </w:tr>
    </w:tbl>
    <w:p w14:paraId="322F6439">
      <w:pPr>
        <w:spacing w:after="40"/>
      </w:pPr>
    </w:p>
    <w:p w14:paraId="66E58456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M2 相对原始岭回归的 1M 测试 RMSE 下降约 53.08%，与调参岭回归相比下降约 50.99%；2000 次配对 bootstrap 的 RMSE 差相对 Ridge_original 为 −0.2516，95% 区间 [−0.2637,−0.2399]。跨尺度去均值诊断的 R² 在 1M 为 0.8851、60M 为 0.6952、1B 为 −2.7933、10B 估计为 −4.3369、70B 估计为 −7.7437，说明 1M 内拟合好并不等于跨规模外推好。</w:t>
      </w:r>
    </w:p>
    <w:p w14:paraId="624CCEC4">
      <w:pPr>
        <w:keepNext/>
        <w:spacing w:before="80" w:after="40"/>
        <w:jc w:val="center"/>
      </w:pPr>
      <w:r>
        <w:drawing>
          <wp:inline distT="0" distB="0" distL="114300" distR="114300">
            <wp:extent cx="4031615" cy="2591435"/>
            <wp:effectExtent l="0" t="0" r="6985" b="18415"/>
            <wp:docPr id="12" name="Picture 12" descr="图3-12 配比回归模型比较" title="图3-12 配比回归模型比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图3-12 配比回归模型比较" title="图3-12 配比回归模型比较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A697">
      <w:pPr>
        <w:keepNext/>
        <w:spacing w:before="4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图3-12 配比回归模型比较</w:t>
      </w:r>
    </w:p>
    <w:p w14:paraId="4473DC2C">
      <w:pPr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555555"/>
          <w:sz w:val="19"/>
        </w:rPr>
        <w:t>M2 在 1M 内测试上表现最好，但跨尺度诊断下降，因而后续 H(p) 被当作可迁移假设而不是已证明规律。</w:t>
      </w:r>
    </w:p>
    <w:p w14:paraId="4523A205">
      <w:pPr>
        <w:keepNext/>
        <w:spacing w:before="80" w:after="40"/>
        <w:jc w:val="center"/>
      </w:pPr>
      <w:r>
        <w:drawing>
          <wp:inline distT="0" distB="0" distL="114300" distR="114300">
            <wp:extent cx="5273675" cy="1687195"/>
            <wp:effectExtent l="0" t="0" r="3175" b="8255"/>
            <wp:docPr id="13" name="Picture 13" descr="图3-13 1M 配比–损失预测" title="图3-13 1M 配比–损失预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图3-13 1M 配比–损失预测" title="图3-13 1M 配比–损失预测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6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B029">
      <w:pPr>
        <w:keepNext/>
        <w:spacing w:before="4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图3-13 1M 配比–损失预测</w:t>
      </w:r>
    </w:p>
    <w:p w14:paraId="38E538CE">
      <w:pPr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555555"/>
          <w:sz w:val="19"/>
        </w:rPr>
        <w:t>预测图展示 M2 对 1M 测试损失的拟合能力。其优势不能自动外推到没有配比观测的 B 数据。</w:t>
      </w:r>
    </w:p>
    <w:p w14:paraId="049E3E4C">
      <w:pPr>
        <w:keepNext/>
        <w:spacing w:before="80" w:after="40"/>
        <w:jc w:val="center"/>
      </w:pPr>
      <w:r>
        <w:drawing>
          <wp:inline distT="0" distB="0" distL="114300" distR="114300">
            <wp:extent cx="5183505" cy="2591435"/>
            <wp:effectExtent l="0" t="0" r="17145" b="18415"/>
            <wp:docPr id="14" name="Picture 14" descr="图3-14 M2 的 tau 敏感性" title="图3-14 M2 的 tau 敏感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图3-14 M2 的 tau 敏感性" title="图3-14 M2 的 tau 敏感性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F145">
      <w:pPr>
        <w:keepNext/>
        <w:spacing w:before="4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图3-14 M2 的 tau 敏感性</w:t>
      </w:r>
    </w:p>
    <w:p w14:paraId="689F25FE">
      <w:pPr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555555"/>
          <w:sz w:val="19"/>
        </w:rPr>
        <w:t>tau 在最优点附近控制小配比域的放大程度；最优 tau 小于最小正配比，约 45.13% 的配比为零，需谨慎解释为物理常数。</w:t>
      </w:r>
    </w:p>
    <w:p w14:paraId="170A208A">
      <w:pPr>
        <w:pStyle w:val="2"/>
      </w:pPr>
      <w:bookmarkStart w:id="6" w:name="_Toc10735"/>
      <w:r>
        <w:rPr>
          <w:rFonts w:ascii="黑体" w:hAnsi="黑体" w:eastAsia="黑体"/>
          <w:b/>
          <w:i w:val="0"/>
          <w:color w:val="000000"/>
          <w:sz w:val="28"/>
        </w:rPr>
        <w:t>4 问题二 广义标度律</w:t>
      </w:r>
      <w:bookmarkEnd w:id="6"/>
    </w:p>
    <w:p w14:paraId="77EF39EB">
      <w:pPr>
        <w:pStyle w:val="32"/>
      </w:pPr>
      <w:r>
        <w:rPr>
          <w:rFonts w:ascii="黑体" w:hAnsi="黑体" w:eastAsia="黑体"/>
          <w:b/>
          <w:i w:val="0"/>
          <w:color w:val="000000"/>
          <w:sz w:val="23"/>
        </w:rPr>
        <w:t>4.1 经典标度律与数据迁移</w:t>
      </w:r>
    </w:p>
    <w:p w14:paraId="3B621F85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经典模型使用 B1 的 1,176 条记录拟合 E+A N^(−a)+B D^(−b)，并固定 E=1.6897975629。这个 E 是 B1 数据上的经验基线，不是跨语料、跨模型都相同的理论不可约损失。B1 内拟合 R²=0.9999998、RMSE=0.0001465；迁移到 Cerebras 族时原始 R²=−5.0728，去均值后的诊断 R²=0.3848；跨族收敛点为 0.6045（去偏移 0.8300），文献数据为 0.7306（去偏移 0.7335）。去偏移只是诊断，不改变原始目标，也不能掩盖来源间截距差异。</w:t>
      </w:r>
    </w:p>
    <w:p w14:paraId="5B6533D1">
      <w:pPr>
        <w:keepNext/>
        <w:spacing w:before="80" w:after="40"/>
        <w:jc w:val="center"/>
      </w:pPr>
      <w:r>
        <w:drawing>
          <wp:inline distT="0" distB="0" distL="114300" distR="114300">
            <wp:extent cx="3110230" cy="2591435"/>
            <wp:effectExtent l="0" t="0" r="13970" b="18415"/>
            <wp:docPr id="15" name="Picture 15" descr="图4-1 经典标度律及跨来源诊断" title="图4-1 经典标度律及跨来源诊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图4-1 经典标度律及跨来源诊断" title="图4-1 经典标度律及跨来源诊断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104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FBC3">
      <w:pPr>
        <w:keepNext/>
        <w:spacing w:before="4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图4-1 经典标度律及跨来源诊断</w:t>
      </w:r>
    </w:p>
    <w:p w14:paraId="0F35F6D6">
      <w:pPr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555555"/>
          <w:sz w:val="19"/>
        </w:rPr>
        <w:t>B1 内拟合几乎完美，但跨来源原始 R² 受截距偏移影响明显；去偏移 R² 仅作为结构诊断。</w:t>
      </w:r>
    </w:p>
    <w:p w14:paraId="04E9CB87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B6 与 B7 合并去除 360 条完全重复记录后得到 450 条唯一数据；按 (N,D) 整组做五折，另设最大 N、最大 D 留出，并用 B6 训练、B7 新 Q 条件做迁移诊断。B8 的 1,704 条保留原始 Q，仅用于迁移诊断。所有六个模型使用相同数据、折划分、初值数量、解析 Jacobian 和有界最小二乘设置。</w:t>
      </w:r>
    </w:p>
    <w:p w14:paraId="09C731B8">
      <w:pPr>
        <w:pStyle w:val="32"/>
      </w:pPr>
      <w:r>
        <w:rPr>
          <w:rFonts w:ascii="黑体" w:hAnsi="黑体" w:eastAsia="黑体"/>
          <w:b/>
          <w:i w:val="0"/>
          <w:color w:val="000000"/>
          <w:sz w:val="23"/>
        </w:rPr>
        <w:t>4.2 六项广义模型与 H*</w:t>
      </w:r>
    </w:p>
    <w:p w14:paraId="5BD91071">
      <w:pPr>
        <w:keepNext/>
        <w:spacing w:before="60" w:after="100"/>
        <w:jc w:val="center"/>
      </w:pPr>
      <m:oMath>
        <m:r>
          <m:rPr/>
          <m:t>L</m:t>
        </m:r>
        <m:r>
          <m:rPr>
            <m:sty m:val="p"/>
          </m:rPr>
          <m:t>=</m:t>
        </m:r>
        <m:r>
          <m:rPr/>
          <m:t>E</m:t>
        </m:r>
        <m:r>
          <m:rPr>
            <m:sty m:val="p"/>
          </m:rPr>
          <m:t>+</m:t>
        </m:r>
        <m:r>
          <m:rPr/>
          <m:t>A</m:t>
        </m:r>
        <m:sSup>
          <m:sSupPr/>
          <m:e>
            <m:r>
              <m:rPr/>
              <m:t>N</m:t>
            </m:r>
          </m:e>
          <m:sup/>
        </m:sSup>
        <m:r>
          <m:rPr>
            <m:sty m:val="p"/>
          </m:rPr>
          <m:t>+</m:t>
        </m:r>
        <m:r>
          <m:rPr/>
          <m:t>B</m:t>
        </m:r>
        <m:sSup>
          <m:sSupPr/>
          <m:e>
            <m:r>
              <m:rPr/>
              <m:t>D</m:t>
            </m:r>
          </m:e>
          <m:sup/>
        </m:sSup>
      </m:oMath>
      <w:r>
        <w:rPr>
          <w:rFonts w:ascii="Times New Roman" w:hAnsi="Times New Roman" w:eastAsia="宋体"/>
          <w:b w:val="0"/>
          <w:i w:val="0"/>
          <w:color w:val="000000"/>
          <w:sz w:val="19"/>
        </w:rPr>
        <w:t xml:space="preserve">  （经典项）</w:t>
      </w:r>
    </w:p>
    <w:p w14:paraId="4869FED2">
      <w:pPr>
        <w:keepNext/>
        <w:spacing w:before="60" w:after="100"/>
        <w:jc w:val="center"/>
      </w:pPr>
      <m:oMath>
        <m:r>
          <m:rPr/>
          <m:t>L</m:t>
        </m:r>
        <m:r>
          <m:rPr>
            <m:sty m:val="p"/>
          </m:rPr>
          <m:t>=</m:t>
        </m:r>
        <m:r>
          <m:rPr/>
          <m:t>E</m:t>
        </m:r>
        <m:r>
          <m:rPr>
            <m:sty m:val="p"/>
          </m:rPr>
          <m:t>+</m:t>
        </m:r>
        <m:r>
          <m:rPr/>
          <m:t>A</m:t>
        </m:r>
        <m:sSup>
          <m:sSupPr/>
          <m:e>
            <m:r>
              <m:rPr/>
              <m:t>N</m:t>
            </m:r>
          </m:e>
          <m:sup/>
        </m:sSup>
        <m:r>
          <m:rPr>
            <m:sty m:val="p"/>
          </m:rPr>
          <m:t>+</m:t>
        </m:r>
        <m:r>
          <m:rPr/>
          <m:t>B</m:t>
        </m:r>
        <m:sSup>
          <m:sSupPr/>
          <m:e>
            <m:r>
              <m:rPr/>
              <m:t>D</m:t>
            </m:r>
          </m:e>
          <m:sup/>
        </m:sSup>
        <m:r>
          <m:rPr>
            <m:sty m:val="p"/>
          </m:rPr>
          <m:t>+</m:t>
        </m:r>
        <m:r>
          <m:rPr/>
          <m:t>C</m:t>
        </m:r>
        <m:sSup>
          <m:sSupPr/>
          <m:e>
            <m:r>
              <m:rPr/>
              <m:t>(1−Q)</m:t>
            </m:r>
          </m:e>
          <m:sup/>
        </m:sSup>
      </m:oMath>
      <w:r>
        <w:rPr>
          <w:rFonts w:ascii="Times New Roman" w:hAnsi="Times New Roman" w:eastAsia="宋体"/>
          <w:b w:val="0"/>
          <w:i w:val="0"/>
          <w:color w:val="000000"/>
          <w:sz w:val="19"/>
        </w:rPr>
        <w:t xml:space="preserve">  （additive）</w:t>
      </w:r>
    </w:p>
    <w:p w14:paraId="590213DA">
      <w:pPr>
        <w:keepNext/>
        <w:spacing w:before="60" w:after="100"/>
        <w:jc w:val="center"/>
      </w:pPr>
      <m:oMath>
        <m:r>
          <m:rPr/>
          <m:t>L</m:t>
        </m:r>
        <m:r>
          <m:rPr>
            <m:sty m:val="p"/>
          </m:rPr>
          <m:t>=</m:t>
        </m:r>
        <m:r>
          <m:rPr/>
          <m:t>E</m:t>
        </m:r>
        <m:r>
          <m:rPr>
            <m:sty m:val="p"/>
          </m:rPr>
          <m:t>+</m:t>
        </m:r>
        <m:r>
          <m:rPr/>
          <m:t>A</m:t>
        </m:r>
        <m:sSup>
          <m:sSupPr/>
          <m:e>
            <m:r>
              <m:rPr/>
              <m:t>N</m:t>
            </m:r>
          </m:e>
          <m:sup/>
        </m:sSup>
        <m:r>
          <m:rPr>
            <m:sty m:val="p"/>
          </m:rPr>
          <m:t>+</m:t>
        </m:r>
        <m:r>
          <m:rPr/>
          <m:t>B</m:t>
        </m:r>
        <m:sSup>
          <m:sSupPr/>
          <m:e>
            <m:r>
              <m:rPr/>
              <m:t>D</m:t>
            </m:r>
          </m:e>
          <m:sup/>
        </m:sSup>
        <m:r>
          <m:rPr>
            <m:sty m:val="p"/>
          </m:rPr>
          <m:t>+</m:t>
        </m:r>
        <m:r>
          <m:rPr/>
          <m:t>C</m:t>
        </m:r>
        <m:sSup>
          <m:sSupPr/>
          <m:e>
            <m:r>
              <m:rPr/>
              <m:t>(1−Q)</m:t>
            </m:r>
          </m:e>
          <m:sup/>
        </m:sSup>
        <m:sSup>
          <m:sSupPr/>
          <m:e>
            <m:r>
              <m:rPr/>
              <m:t>D</m:t>
            </m:r>
          </m:e>
          <m:sup/>
        </m:sSup>
      </m:oMath>
      <w:r>
        <w:rPr>
          <w:rFonts w:ascii="Times New Roman" w:hAnsi="Times New Roman" w:eastAsia="宋体"/>
          <w:b w:val="0"/>
          <w:i w:val="0"/>
          <w:color w:val="000000"/>
          <w:sz w:val="19"/>
        </w:rPr>
        <w:t xml:space="preserve">  （interaction）</w:t>
      </w:r>
    </w:p>
    <w:p w14:paraId="52762364">
      <w:pPr>
        <w:keepNext/>
        <w:spacing w:before="60" w:after="100"/>
        <w:jc w:val="center"/>
      </w:pPr>
      <m:oMath>
        <m:r>
          <m:rPr/>
          <m:t>L</m:t>
        </m:r>
        <m:r>
          <m:rPr>
            <m:sty m:val="p"/>
          </m:rPr>
          <m:t>=</m:t>
        </m:r>
        <m:r>
          <m:rPr/>
          <m:t>E</m:t>
        </m:r>
        <m:r>
          <m:rPr>
            <m:sty m:val="p"/>
          </m:rPr>
          <m:t>+</m:t>
        </m:r>
        <m:r>
          <m:rPr/>
          <m:t>A</m:t>
        </m:r>
        <m:sSup>
          <m:sSupPr/>
          <m:e>
            <m:r>
              <m:rPr/>
              <m:t>N</m:t>
            </m:r>
          </m:e>
          <m:sup/>
        </m:sSup>
        <m:r>
          <m:rPr>
            <m:sty m:val="p"/>
          </m:rPr>
          <m:t>+</m:t>
        </m:r>
        <m:r>
          <m:rPr/>
          <m:t>B</m:t>
        </m:r>
        <m:sSup>
          <m:sSupPr/>
          <m:e>
            <m:r>
              <m:rPr/>
              <m:t>D</m:t>
            </m:r>
          </m:e>
          <m:sup/>
        </m:sSup>
        <m:r>
          <m:rPr>
            <m:sty m:val="p"/>
          </m:rPr>
          <m:t>+</m:t>
        </m:r>
        <m:r>
          <m:rPr/>
          <m:t>eta</m:t>
        </m:r>
        <m:r>
          <m:rPr>
            <m:sty m:val="p"/>
          </m:rPr>
          <m:t>(1−</m:t>
        </m:r>
        <m:sSup>
          <m:sSupPr/>
          <m:e>
            <m:r>
              <m:rPr/>
              <m:t>Q</m:t>
            </m:r>
          </m:e>
          <m:sup/>
        </m:sSup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000000"/>
          <w:sz w:val="19"/>
        </w:rPr>
        <w:t xml:space="preserve">  （quality_power）</w:t>
      </w:r>
    </w:p>
    <w:p w14:paraId="5DECE978">
      <w:pPr>
        <w:keepNext/>
        <w:spacing w:before="60" w:after="100"/>
        <w:jc w:val="center"/>
      </w:pPr>
      <m:oMath>
        <m:r>
          <m:rPr/>
          <m:t>L</m:t>
        </m:r>
        <m:sSub>
          <m:sSubPr/>
          <m:e>
            <m:r>
              <m:rPr/>
              <m:t>H</m:t>
            </m:r>
          </m:e>
          <m:sub/>
        </m:sSub>
        <m:r>
          <m:rPr>
            <m:sty m:val="p"/>
          </m:rPr>
          <m:t>=</m:t>
        </m:r>
        <m:r>
          <m:rPr/>
          <m:t>L</m:t>
        </m:r>
        <m:r>
          <m:rPr>
            <m:sty m:val="p"/>
          </m:rPr>
          <m:t>+</m:t>
        </m:r>
        <m:r>
          <m:rPr/>
          <m:t>lambdaH</m:t>
        </m:r>
        <m:r>
          <m:rPr>
            <m:sty m:val="p"/>
          </m:rPr>
          <m:t>∗</m:t>
        </m:r>
      </m:oMath>
      <w:r>
        <w:rPr>
          <w:rFonts w:ascii="Times New Roman" w:hAnsi="Times New Roman" w:eastAsia="宋体"/>
          <w:b w:val="0"/>
          <w:i w:val="0"/>
          <w:color w:val="000000"/>
          <w:sz w:val="19"/>
        </w:rPr>
        <w:t xml:space="preserve">  （加入配比常数）</w:t>
      </w:r>
    </w:p>
    <w:p w14:paraId="552CD5D3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三种质量项各计算不含 H* 和含 lambda H* 两个版本，共六项。H(p)=F(p)−F(p_ref)，其中 F 是 13 个损失域的 M2 预测损失等权平均，p_ref 是均匀 17 域配比；最优配比下 H*=−0.0896732441，F*=4.3884912，F_ref=4.4781645。H* 不是熵，也不是绝对损失。由于 H* 对 B 的每行相同，加入 H* 之后 E_eff=E+lambda H*，因此 lambda 只在 E 被固定时具有数值意义，仍不能独立识别 p 的作用。</w:t>
      </w:r>
    </w:p>
    <w:p w14:paraId="1565D4D1">
      <w:pPr>
        <w:keepNext/>
        <w:spacing w:before="80" w:after="40"/>
        <w:jc w:val="center"/>
      </w:pPr>
      <w:r>
        <w:drawing>
          <wp:inline distT="0" distB="0" distL="114300" distR="114300">
            <wp:extent cx="5273675" cy="2197100"/>
            <wp:effectExtent l="0" t="0" r="3175" b="12700"/>
            <wp:docPr id="16" name="Picture 16" descr="图4-2 六项模型的验证比较" title="图4-2 六项模型的验证比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图4-2 六项模型的验证比较" title="图4-2 六项模型的验证比较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1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FF1D">
      <w:pPr>
        <w:keepNext/>
        <w:spacing w:before="4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图4-2 六项模型的验证比较</w:t>
      </w:r>
    </w:p>
    <w:p w14:paraId="16B0F34A">
      <w:pPr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555555"/>
          <w:sz w:val="19"/>
        </w:rPr>
        <w:t>OOF 结果显示加入 H* 的 additive 模型最优，但其提升首先应解释为截距校正。</w:t>
      </w:r>
    </w:p>
    <w:p w14:paraId="74297C28">
      <w:pPr>
        <w:keepNext/>
        <w:spacing w:before="80" w:after="40"/>
        <w:jc w:val="center"/>
      </w:pPr>
      <w:r>
        <w:drawing>
          <wp:inline distT="0" distB="0" distL="114300" distR="114300">
            <wp:extent cx="3887470" cy="2591435"/>
            <wp:effectExtent l="0" t="0" r="17780" b="18415"/>
            <wp:docPr id="17" name="Picture 17" descr="图4-3 六项模型的分组 OOF 预测" title="图4-3 六项模型的分组 OOF 预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图4-3 六项模型的分组 OOF 预测" title="图4-3 六项模型的分组 OOF 预测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2678">
      <w:pPr>
        <w:keepNext/>
        <w:spacing w:before="4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图4-3 六项模型的分组 OOF 预测</w:t>
      </w:r>
    </w:p>
    <w:p w14:paraId="05AC094A">
      <w:pPr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555555"/>
          <w:sz w:val="19"/>
        </w:rPr>
        <w:t>OOF 预测按 (N,D) 分组留出，避免同一资源组的近重复记录同时进入训练和验证。</w:t>
      </w:r>
    </w:p>
    <w:p w14:paraId="6A48FA6C">
      <w:pPr>
        <w:keepNext/>
        <w:spacing w:before="80" w:after="40"/>
        <w:jc w:val="center"/>
      </w:pPr>
      <w:r>
        <w:drawing>
          <wp:inline distT="0" distB="0" distL="114300" distR="114300">
            <wp:extent cx="5273675" cy="2197100"/>
            <wp:effectExtent l="0" t="0" r="3175" b="12700"/>
            <wp:docPr id="18" name="Picture 18" descr="图4-4 三种质量响应曲线" title="图4-4 三种质量响应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图4-4 三种质量响应曲线" title="图4-4 三种质量响应曲线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1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BE2C">
      <w:pPr>
        <w:keepNext/>
        <w:spacing w:before="4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图4-4 三种质量响应曲线</w:t>
      </w:r>
    </w:p>
    <w:p w14:paraId="73CF2D59">
      <w:pPr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555555"/>
          <w:sz w:val="19"/>
        </w:rPr>
        <w:t>quality_power 的 kappa 接近 1，additive 的 g 也接近 1，因此在本数据范围内三种质量项近似线性，性能差异很小。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7F20C4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03D51AD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形式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592A5B24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OOF R²</w:t>
            </w:r>
          </w:p>
        </w:tc>
        <w:tc>
          <w:tcPr>
            <w:tcW w:w="130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0B42A67A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OOF RMSE</w:t>
            </w:r>
          </w:p>
        </w:tc>
        <w:tc>
          <w:tcPr>
            <w:tcW w:w="124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6AB53CC4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OOF MAE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5C8B74F5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N留出R²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4CFCA6F2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D留出R²</w:t>
            </w:r>
          </w:p>
        </w:tc>
      </w:tr>
      <w:tr w14:paraId="2275C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715799F0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additive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3F6E52C3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0.969047</w:t>
            </w:r>
          </w:p>
        </w:tc>
        <w:tc>
          <w:tcPr>
            <w:tcW w:w="130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48820188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0.059930</w:t>
            </w:r>
          </w:p>
        </w:tc>
        <w:tc>
          <w:tcPr>
            <w:tcW w:w="124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18F0EADD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0.046310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57380964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0.891289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31E14EA2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0.965740</w:t>
            </w:r>
          </w:p>
        </w:tc>
      </w:tr>
      <w:tr w14:paraId="5C3AC2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45EC544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interaction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226C6F57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0.969160</w:t>
            </w:r>
          </w:p>
        </w:tc>
        <w:tc>
          <w:tcPr>
            <w:tcW w:w="130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501A69DE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0.059821</w:t>
            </w:r>
          </w:p>
        </w:tc>
        <w:tc>
          <w:tcPr>
            <w:tcW w:w="124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3293026A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0.046210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329CD8EC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0.894091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37E67DAA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0.970196</w:t>
            </w:r>
          </w:p>
        </w:tc>
      </w:tr>
      <w:tr w14:paraId="655266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049D81F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quality_power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3E7B8E8D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0.969003</w:t>
            </w:r>
          </w:p>
        </w:tc>
        <w:tc>
          <w:tcPr>
            <w:tcW w:w="130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31422C51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0.059973</w:t>
            </w:r>
          </w:p>
        </w:tc>
        <w:tc>
          <w:tcPr>
            <w:tcW w:w="124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14A0147D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0.046345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44A9556F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0.890608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7FC4BB92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0.965593</w:t>
            </w:r>
          </w:p>
        </w:tc>
      </w:tr>
      <w:tr w14:paraId="1B7078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6EE08EF1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additive + H*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2A845A5D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0.970582</w:t>
            </w:r>
          </w:p>
        </w:tc>
        <w:tc>
          <w:tcPr>
            <w:tcW w:w="130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507F8CFD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0.058426</w:t>
            </w:r>
          </w:p>
        </w:tc>
        <w:tc>
          <w:tcPr>
            <w:tcW w:w="124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1D6AF6BB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0.045350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5C4C8E6E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0.891876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78F60929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0.971673</w:t>
            </w:r>
          </w:p>
        </w:tc>
      </w:tr>
      <w:tr w14:paraId="37AAE0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0B7ED098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interaction + H*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0F89EA9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0.969696</w:t>
            </w:r>
          </w:p>
        </w:tc>
        <w:tc>
          <w:tcPr>
            <w:tcW w:w="130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7C42BA71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0.059299</w:t>
            </w:r>
          </w:p>
        </w:tc>
        <w:tc>
          <w:tcPr>
            <w:tcW w:w="124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13EAD47D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0.045960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6D6B3CD7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0.892380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6ADB6467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0.973158</w:t>
            </w:r>
          </w:p>
        </w:tc>
      </w:tr>
      <w:tr w14:paraId="0658D7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3F46EB6E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quality_power + H*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3FE0D9C8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0.970568</w:t>
            </w:r>
          </w:p>
        </w:tc>
        <w:tc>
          <w:tcPr>
            <w:tcW w:w="130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300BC8E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0.058440</w:t>
            </w:r>
          </w:p>
        </w:tc>
        <w:tc>
          <w:tcPr>
            <w:tcW w:w="124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3CAF7E6A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0.045387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3A85A442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0.891371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232FC998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0.971630</w:t>
            </w:r>
          </w:p>
        </w:tc>
      </w:tr>
    </w:tbl>
    <w:p w14:paraId="0F72A23C">
      <w:pPr>
        <w:spacing w:after="40"/>
      </w:pPr>
    </w:p>
    <w:p w14:paraId="7BF1776C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按 OOF RMSE 选择 additive+H* 作为问题三主模型。相对于不加 H*，additive、interaction、quality_power 的 OOF RMSE 分别下降 2.510%、0.872%、2.557%。quality_power+H* 比 additive+H* 的 RMSE 高 0.024%，没有显著优势；它相对 interaction+H* 的 OOF RMSE 低 1.450%，但在 N/D 留出上并不一致。B8 原始 Q 迁移 R² 全部约为 −2.74 至 −2.83，不能宣称跨来源外推成功。</w:t>
      </w:r>
    </w:p>
    <w:p w14:paraId="68C717B4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六项模型的直接结论是：H* 对验证有小幅帮助，但更像固定 E 下的截距校正；质量响应形式的选择影响较小，当前数据不足以证明新 quality_power 全面优于 additive 或 interaction。要识别真实配比机制，需要 B 中包含不同 p 的成组实验，或把 Q、p、H(p) 通过共同的可观测映射联合校准。</w:t>
      </w:r>
    </w:p>
    <w:p w14:paraId="66BF2204">
      <w:pPr>
        <w:pStyle w:val="2"/>
      </w:pPr>
      <w:bookmarkStart w:id="7" w:name="_Toc27786"/>
      <w:r>
        <w:rPr>
          <w:rFonts w:ascii="黑体" w:hAnsi="黑体" w:eastAsia="黑体"/>
          <w:b/>
          <w:i w:val="0"/>
          <w:color w:val="000000"/>
          <w:sz w:val="28"/>
        </w:rPr>
        <w:t>5 问题三 算力约束下资源优化</w:t>
      </w:r>
      <w:bookmarkEnd w:id="7"/>
    </w:p>
    <w:p w14:paraId="21F82DC3">
      <w:pPr>
        <w:pStyle w:val="32"/>
      </w:pPr>
      <w:r>
        <w:rPr>
          <w:rFonts w:ascii="黑体" w:hAnsi="黑体" w:eastAsia="黑体"/>
          <w:b/>
          <w:i w:val="0"/>
          <w:color w:val="000000"/>
          <w:sz w:val="23"/>
        </w:rPr>
        <w:t>5.1 优化目标、成本与隐含条件</w:t>
      </w:r>
    </w:p>
    <w:p w14:paraId="26AD1705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问题三使用问题二选出的 additive+H* 响应面作为主模型，同时保留 interaction+H* 作公式对照。N、D 用十亿为单位，质量 Q 的范围为 [0.4,1]，N_B 和 D_B 的范围分别为 [0.005,10^5]、[0.2,10^5]。预算取 10^19、10^22、10^24 FLOPs；主上下文长度为 2048 和 4096，另对 8192、32768、131072 作敏感性分析。</w:t>
      </w:r>
    </w:p>
    <w:p w14:paraId="29BE0D5F">
      <w:pPr>
        <w:keepNext/>
        <w:spacing w:before="60" w:after="100"/>
        <w:jc w:val="center"/>
      </w:pPr>
      <m:oMath>
        <m:r>
          <m:rPr/>
          <m:t>C</m:t>
        </m:r>
        <m:r>
          <m:rPr>
            <m:sty m:val="p"/>
          </m:rPr>
          <m:t>=</m:t>
        </m:r>
        <m:sSup>
          <m:sSupPr/>
          <m:e>
            <m:r>
              <m:rPr/>
              <m:t>10</m:t>
            </m:r>
          </m:e>
          <m:sup/>
        </m:sSup>
        <m:r>
          <m:rPr/>
          <m:t>ND</m:t>
        </m:r>
        <m:r>
          <m:rPr>
            <m:sty m:val="p"/>
          </m:rPr>
          <m:t>(6+</m:t>
        </m:r>
        <m:r>
          <m:rPr/>
          <m:t>eta</m:t>
        </m:r>
        <m:sSub>
          <m:sSubPr/>
          <m:e>
            <m:r>
              <m:rPr/>
              <m:t>L</m:t>
            </m:r>
          </m:e>
          <m:sub/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000000"/>
          <w:sz w:val="19"/>
        </w:rPr>
        <w:t xml:space="preserve">  （训练与注意力成本）</w:t>
      </w:r>
    </w:p>
    <w:p w14:paraId="31B5E91E">
      <w:pPr>
        <w:keepNext/>
        <w:spacing w:before="60" w:after="100"/>
        <w:jc w:val="center"/>
      </w:pPr>
      <m:oMath>
        <m:sSub>
          <m:sSubPr/>
          <m:e>
            <m:r>
              <m:rPr/>
              <m:t>C</m:t>
            </m:r>
          </m:e>
          <m:sub/>
        </m:sSub>
        <m:r>
          <m:rPr>
            <m:sty m:val="p"/>
          </m:rPr>
          <m:t>=</m:t>
        </m:r>
        <m:sSup>
          <m:sSupPr/>
          <m:e>
            <m:r>
              <m:rPr/>
              <m:t>10</m:t>
            </m:r>
          </m:e>
          <m:sup/>
        </m:sSup>
        <m:r>
          <m:rPr/>
          <m:t>D</m:t>
        </m:r>
        <m:r>
          <m:rPr>
            <m:sty m:val="p"/>
          </m:rPr>
          <m:t>[</m:t>
        </m:r>
        <m:r>
          <m:rPr/>
          <m:t>f</m:t>
        </m:r>
        <m:r>
          <m:rPr>
            <m:sty m:val="p"/>
          </m:rPr>
          <m:t>(</m:t>
        </m:r>
        <m:r>
          <m:rPr/>
          <m:t>Q</m:t>
        </m:r>
        <m:r>
          <m:rPr>
            <m:sty m:val="p"/>
          </m:rPr>
          <m:t>)−</m:t>
        </m:r>
        <m:r>
          <m:rPr/>
          <m:t>f</m:t>
        </m:r>
        <m:r>
          <m:rPr>
            <m:sty m:val="p"/>
          </m:rPr>
          <m:t>(0.4)]</m:t>
        </m:r>
        <m:sSub>
          <m:sSubPr/>
          <m:e>
            <m:r>
              <m:rPr/>
              <m:t>+</m:t>
            </m:r>
          </m:e>
          <m:sub/>
        </m:sSub>
      </m:oMath>
      <w:r>
        <w:rPr>
          <w:rFonts w:ascii="Times New Roman" w:hAnsi="Times New Roman" w:eastAsia="宋体"/>
          <w:b w:val="0"/>
          <w:i w:val="0"/>
          <w:color w:val="000000"/>
          <w:sz w:val="19"/>
        </w:rPr>
        <w:t xml:space="preserve">  （质量成本）</w:t>
      </w:r>
    </w:p>
    <w:p w14:paraId="2C23AA71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训练成本为 10^18 N_B D_B (6+eta L_ctx)，质量成本为 10^9 D_B [f(Q)−f(0.4)]_+，注意力成本与训练成本同量纲。三种 f(Q) 为 exp、power、log。由于 D 在固定 N、Q 时单调增加损失的边界内可直接取预算允许的最大值，代码先精确消去 D，再优化 N、Q 和可选的 p；另用参考扫描与加密检查复核。</w:t>
      </w:r>
    </w:p>
    <w:p w14:paraId="39CE2BA8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隐含条件包括：Q 可以在固定 p 下独立变化；p 不产生额外成本；lambda&gt;0 且 H(p) 只有 A 的形状可以迁移到当前场景；17 个配方域供应无限且配比只受单纯形约束；连续的 N、D 可以由某个实际架构实现。任何一个条件不成立，‘自由优化 p 没有收益’的结论都可能改变。</w:t>
      </w:r>
    </w:p>
    <w:p w14:paraId="6460EE9A">
      <w:pPr>
        <w:keepNext/>
        <w:spacing w:before="80" w:after="40"/>
        <w:jc w:val="center"/>
      </w:pPr>
      <w:r>
        <w:drawing>
          <wp:inline distT="0" distB="0" distL="114300" distR="114300">
            <wp:extent cx="5273675" cy="2109470"/>
            <wp:effectExtent l="0" t="0" r="3175" b="5080"/>
            <wp:docPr id="19" name="Picture 19" descr="图5-1 additive 与 interaction 的模型比较" title="图5-1 additive 与 interaction 的模型比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图5-1 additive 与 interaction 的模型比较" title="图5-1 additive 与 interaction 的模型比较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577B">
      <w:pPr>
        <w:keepNext/>
        <w:spacing w:before="4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图5-1 additive 与 interaction 的模型比较</w:t>
      </w:r>
    </w:p>
    <w:p w14:paraId="24A0FFD2">
      <w:pPr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555555"/>
          <w:sz w:val="19"/>
        </w:rPr>
        <w:t>两种响应面在同一成本和边界下比较。interaction 在代表性低预算点倾向更多参数、较少数据，但这只是当前拟合参数的结果。</w:t>
      </w:r>
    </w:p>
    <w:p w14:paraId="09B5B8AE">
      <w:pPr>
        <w:keepNext/>
        <w:spacing w:before="80" w:after="40"/>
        <w:jc w:val="center"/>
      </w:pPr>
      <w:r>
        <w:drawing>
          <wp:inline distT="0" distB="0" distL="114300" distR="114300">
            <wp:extent cx="5273675" cy="2109470"/>
            <wp:effectExtent l="0" t="0" r="3175" b="5080"/>
            <wp:docPr id="20" name="Picture 20" descr="图5-2 PSO 与 SLSQP 的目标差距" title="图5-2 PSO 与 SLSQP 的目标差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图5-2 PSO 与 SLSQP 的目标差距" title="图5-2 PSO 与 SLSQP 的目标差距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AB03">
      <w:pPr>
        <w:keepNext/>
        <w:spacing w:before="4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图5-2 PSO 与 SLSQP 的目标差距</w:t>
      </w:r>
    </w:p>
    <w:p w14:paraId="7D95CB9A">
      <w:pPr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555555"/>
          <w:sz w:val="19"/>
        </w:rPr>
        <w:t>两种求解器都以参考最优值计算 gap；PSO 和 SLSQP 的差异主要表现为数值求解过程，而非模型公式差异。</w:t>
      </w:r>
    </w:p>
    <w:p w14:paraId="3B1A6B93">
      <w:pPr>
        <w:keepNext/>
        <w:spacing w:before="80" w:after="40"/>
        <w:jc w:val="center"/>
      </w:pPr>
      <w:r>
        <w:drawing>
          <wp:inline distT="0" distB="0" distL="114300" distR="114300">
            <wp:extent cx="5273675" cy="2109470"/>
            <wp:effectExtent l="0" t="0" r="3175" b="5080"/>
            <wp:docPr id="21" name="Picture 21" descr="图5-3 两种求解器运行时间" title="图5-3 两种求解器运行时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图5-3 两种求解器运行时间" title="图5-3 两种求解器运行时间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7952">
      <w:pPr>
        <w:keepNext/>
        <w:spacing w:before="4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图5-3 两种求解器运行时间</w:t>
      </w:r>
    </w:p>
    <w:p w14:paraId="4E41C53F">
      <w:pPr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555555"/>
          <w:sz w:val="19"/>
        </w:rPr>
        <w:t>固定配比低维问题中 SLSQP 更快；自由配比问题中 PSO 的批量向量计算更快。速度优势不等于评估次数更少。</w:t>
      </w:r>
    </w:p>
    <w:p w14:paraId="5B4EC1A2">
      <w:pPr>
        <w:keepNext/>
        <w:spacing w:before="80" w:after="40"/>
        <w:jc w:val="center"/>
      </w:pPr>
      <w:r>
        <w:drawing>
          <wp:inline distT="0" distB="0" distL="114300" distR="114300">
            <wp:extent cx="5273675" cy="1917700"/>
            <wp:effectExtent l="0" t="0" r="3175" b="6350"/>
            <wp:docPr id="22" name="Picture 22" descr="图5-4 固定配比与自由配比的资源配置比较" title="图5-4 固定配比与自由配比的资源配置比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图5-4 固定配比与自由配比的资源配置比较" title="图5-4 固定配比与自由配比的资源配置比较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91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8623">
      <w:pPr>
        <w:keepNext/>
        <w:spacing w:before="4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图5-4 固定配比与自由配比的资源配置比较</w:t>
      </w:r>
    </w:p>
    <w:p w14:paraId="41976FC2">
      <w:pPr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555555"/>
          <w:sz w:val="19"/>
        </w:rPr>
        <w:t>在当前可分离目标中，开放 p 后解回到 A 的 p*，因此配置几乎重合。</w:t>
      </w:r>
    </w:p>
    <w:p w14:paraId="4EF93A22">
      <w:pPr>
        <w:keepNext/>
        <w:spacing w:before="80" w:after="40"/>
        <w:jc w:val="center"/>
      </w:pPr>
      <w:r>
        <w:drawing>
          <wp:inline distT="0" distB="0" distL="114300" distR="114300">
            <wp:extent cx="4535805" cy="2591435"/>
            <wp:effectExtent l="0" t="0" r="17145" b="18415"/>
            <wp:docPr id="23" name="Picture 23" descr="图5-5 上下文长度对成本和配置的影响" title="图5-5 上下文长度对成本和配置的影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图5-5 上下文长度对成本和配置的影响" title="图5-5 上下文长度对成本和配置的影响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BDE4">
      <w:pPr>
        <w:keepNext/>
        <w:spacing w:before="4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图5-5 上下文长度对成本和配置的影响</w:t>
      </w:r>
    </w:p>
    <w:p w14:paraId="1E3E772C">
      <w:pPr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555555"/>
          <w:sz w:val="19"/>
        </w:rPr>
        <w:t>上下文长度越长，注意力成本份额越高，最优方案会减少 N、D 并增加注意力支出份额。</w:t>
      </w:r>
    </w:p>
    <w:p w14:paraId="19F37F16">
      <w:pPr>
        <w:keepNext/>
        <w:spacing w:before="80" w:after="40"/>
        <w:jc w:val="center"/>
      </w:pPr>
      <w:r>
        <w:drawing>
          <wp:inline distT="0" distB="0" distL="114300" distR="114300">
            <wp:extent cx="5183505" cy="2591435"/>
            <wp:effectExtent l="0" t="0" r="17145" b="18415"/>
            <wp:docPr id="24" name="Picture 24" descr="图5-6 粒子群算法收敛曲线" title="图5-6 粒子群算法收敛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图5-6 粒子群算法收敛曲线" title="图5-6 粒子群算法收敛曲线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B518">
      <w:pPr>
        <w:keepNext/>
        <w:spacing w:before="4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图5-6 粒子群算法收敛曲线</w:t>
      </w:r>
    </w:p>
    <w:p w14:paraId="7D3123E8">
      <w:pPr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555555"/>
          <w:sz w:val="19"/>
        </w:rPr>
        <w:t>PSO 使用 128 粒子、800 轮、惯性权重 0.9→0.4、c1=c2=1.7，并重复五次。</w:t>
      </w:r>
    </w:p>
    <w:p w14:paraId="6ABD550A">
      <w:pPr>
        <w:keepNext/>
        <w:spacing w:before="80" w:after="40"/>
        <w:jc w:val="center"/>
      </w:pPr>
      <w:r>
        <w:drawing>
          <wp:inline distT="0" distB="0" distL="114300" distR="114300">
            <wp:extent cx="3702685" cy="2591435"/>
            <wp:effectExtent l="0" t="0" r="12065" b="18415"/>
            <wp:docPr id="25" name="Picture 25" descr="图5-7 三种质量成本函数的资源配置" title="图5-7 三种质量成本函数的资源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图5-7 三种质量成本函数的资源配置" title="图5-7 三种质量成本函数的资源配置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2857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9FD3">
      <w:pPr>
        <w:keepNext/>
        <w:spacing w:before="4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图5-7 三种质量成本函数的资源配置</w:t>
      </w:r>
    </w:p>
    <w:p w14:paraId="771B2C03">
      <w:pPr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555555"/>
          <w:sz w:val="19"/>
        </w:rPr>
        <w:t>exp、power、log 质量成本改变预算在训练、质量和注意力之间的分配，但不能解释成真实质量成本已被实验测量。</w:t>
      </w:r>
    </w:p>
    <w:p w14:paraId="783D74E7">
      <w:pPr>
        <w:keepNext/>
        <w:spacing w:before="80" w:after="40"/>
        <w:jc w:val="center"/>
      </w:pPr>
      <w:r>
        <w:drawing>
          <wp:inline distT="0" distB="0" distL="114300" distR="114300">
            <wp:extent cx="5183505" cy="2591435"/>
            <wp:effectExtent l="0" t="0" r="17145" b="18415"/>
            <wp:docPr id="26" name="Picture 26" descr="图5-8 引入隐含条件前后的情景比较" title="图5-8 引入隐含条件前后的情景比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图5-8 引入隐含条件前后的情景比较" title="图5-8 引入隐含条件前后的情景比较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2F74">
      <w:pPr>
        <w:keepNext/>
        <w:spacing w:before="4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图5-8 引入隐含条件前后的情景比较</w:t>
      </w:r>
    </w:p>
    <w:p w14:paraId="16017DB9">
      <w:pPr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555555"/>
          <w:sz w:val="19"/>
        </w:rPr>
        <w:t>‘前’采用理论上下文相等点 30000，‘后’采用主情景 2048/4096。上下文变化改变了任务本身，因此损失差不能称作同一任务上的纯改进。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</w:tblGrid>
      <w:tr w14:paraId="45BA61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41D18048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预算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360058EB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公式</w:t>
            </w:r>
          </w:p>
        </w:tc>
        <w:tc>
          <w:tcPr>
            <w:tcW w:w="879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5C389D4C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N(B)</w:t>
            </w:r>
          </w:p>
        </w:tc>
        <w:tc>
          <w:tcPr>
            <w:tcW w:w="102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60601630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D(B)</w:t>
            </w:r>
          </w:p>
        </w:tc>
        <w:tc>
          <w:tcPr>
            <w:tcW w:w="73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46AD7457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Q</w:t>
            </w:r>
          </w:p>
        </w:tc>
        <w:tc>
          <w:tcPr>
            <w:tcW w:w="90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155F596D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Loss</w:t>
            </w:r>
          </w:p>
        </w:tc>
        <w:tc>
          <w:tcPr>
            <w:tcW w:w="935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5E5170D7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训练份额</w:t>
            </w:r>
          </w:p>
        </w:tc>
        <w:tc>
          <w:tcPr>
            <w:tcW w:w="935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0EE3DE58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质量份额</w:t>
            </w:r>
          </w:p>
        </w:tc>
        <w:tc>
          <w:tcPr>
            <w:tcW w:w="96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18E16925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注意力份额</w:t>
            </w:r>
          </w:p>
        </w:tc>
      </w:tr>
      <w:tr w14:paraId="66CD8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590AE2F4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10^19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0E0C34C4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additive</w:t>
            </w:r>
          </w:p>
        </w:tc>
        <w:tc>
          <w:tcPr>
            <w:tcW w:w="879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14AC5541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0.2704</w:t>
            </w:r>
          </w:p>
        </w:tc>
        <w:tc>
          <w:tcPr>
            <w:tcW w:w="102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7987A000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4.7021</w:t>
            </w:r>
          </w:p>
        </w:tc>
        <w:tc>
          <w:tcPr>
            <w:tcW w:w="73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2A1A6788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0.5354</w:t>
            </w:r>
          </w:p>
        </w:tc>
        <w:tc>
          <w:tcPr>
            <w:tcW w:w="90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067D8221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3.2922</w:t>
            </w:r>
          </w:p>
        </w:tc>
        <w:tc>
          <w:tcPr>
            <w:tcW w:w="935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2E558874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0.7629</w:t>
            </w:r>
          </w:p>
        </w:tc>
        <w:tc>
          <w:tcPr>
            <w:tcW w:w="935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21B2819B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0.1329</w:t>
            </w:r>
          </w:p>
        </w:tc>
        <w:tc>
          <w:tcPr>
            <w:tcW w:w="96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044F6417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0.1042</w:t>
            </w:r>
          </w:p>
        </w:tc>
      </w:tr>
      <w:tr w14:paraId="377A70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419F96AB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10^19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7B522D77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interaction</w:t>
            </w:r>
          </w:p>
        </w:tc>
        <w:tc>
          <w:tcPr>
            <w:tcW w:w="879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703AB1EE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0.2806</w:t>
            </w:r>
          </w:p>
        </w:tc>
        <w:tc>
          <w:tcPr>
            <w:tcW w:w="102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7475527A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4.3283</w:t>
            </w:r>
          </w:p>
        </w:tc>
        <w:tc>
          <w:tcPr>
            <w:tcW w:w="73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0DA8C901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0.5692</w:t>
            </w:r>
          </w:p>
        </w:tc>
        <w:tc>
          <w:tcPr>
            <w:tcW w:w="90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74BBEDA0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3.2936</w:t>
            </w:r>
          </w:p>
        </w:tc>
        <w:tc>
          <w:tcPr>
            <w:tcW w:w="935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68A38053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0.7287</w:t>
            </w:r>
          </w:p>
        </w:tc>
        <w:tc>
          <w:tcPr>
            <w:tcW w:w="935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3EC9FE8D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0.1718</w:t>
            </w:r>
          </w:p>
        </w:tc>
        <w:tc>
          <w:tcPr>
            <w:tcW w:w="96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2F7CA12C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0.0995</w:t>
            </w:r>
          </w:p>
        </w:tc>
      </w:tr>
      <w:tr w14:paraId="056132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215EE7C5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10^22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24D90E93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additive</w:t>
            </w:r>
          </w:p>
        </w:tc>
        <w:tc>
          <w:tcPr>
            <w:tcW w:w="879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368D543C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8.7248</w:t>
            </w:r>
          </w:p>
        </w:tc>
        <w:tc>
          <w:tcPr>
            <w:tcW w:w="102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3CC60632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155.3561</w:t>
            </w:r>
          </w:p>
        </w:tc>
        <w:tc>
          <w:tcPr>
            <w:tcW w:w="73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6666FAB5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1.0000</w:t>
            </w:r>
          </w:p>
        </w:tc>
        <w:tc>
          <w:tcPr>
            <w:tcW w:w="90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041B9FE4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2.1003</w:t>
            </w:r>
          </w:p>
        </w:tc>
        <w:tc>
          <w:tcPr>
            <w:tcW w:w="935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37D452B2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0.8133</w:t>
            </w:r>
          </w:p>
        </w:tc>
        <w:tc>
          <w:tcPr>
            <w:tcW w:w="935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51C5D7CA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0.0757</w:t>
            </w:r>
          </w:p>
        </w:tc>
        <w:tc>
          <w:tcPr>
            <w:tcW w:w="96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5560550B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0.1110</w:t>
            </w:r>
          </w:p>
        </w:tc>
      </w:tr>
      <w:tr w14:paraId="2E15D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507DEC93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10^22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0030450E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interaction</w:t>
            </w:r>
          </w:p>
        </w:tc>
        <w:tc>
          <w:tcPr>
            <w:tcW w:w="879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40DC8712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9.9267</w:t>
            </w:r>
          </w:p>
        </w:tc>
        <w:tc>
          <w:tcPr>
            <w:tcW w:w="102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4622DE6A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137.8095</w:t>
            </w:r>
          </w:p>
        </w:tc>
        <w:tc>
          <w:tcPr>
            <w:tcW w:w="73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68BA8BA8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1.0000</w:t>
            </w:r>
          </w:p>
        </w:tc>
        <w:tc>
          <w:tcPr>
            <w:tcW w:w="90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381C8F1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2.1030</w:t>
            </w:r>
          </w:p>
        </w:tc>
        <w:tc>
          <w:tcPr>
            <w:tcW w:w="935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26A8E7E4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0.8208</w:t>
            </w:r>
          </w:p>
        </w:tc>
        <w:tc>
          <w:tcPr>
            <w:tcW w:w="935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6F256B7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0.0671</w:t>
            </w:r>
          </w:p>
        </w:tc>
        <w:tc>
          <w:tcPr>
            <w:tcW w:w="96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0EA8C6A3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0.1121</w:t>
            </w:r>
          </w:p>
        </w:tc>
      </w:tr>
      <w:tr w14:paraId="0BE70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780CCCCE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10^24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2803C22B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additive</w:t>
            </w:r>
          </w:p>
        </w:tc>
        <w:tc>
          <w:tcPr>
            <w:tcW w:w="879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776A19BF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85.5234</w:t>
            </w:r>
          </w:p>
        </w:tc>
        <w:tc>
          <w:tcPr>
            <w:tcW w:w="102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7C92517F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1700.4690</w:t>
            </w:r>
          </w:p>
        </w:tc>
        <w:tc>
          <w:tcPr>
            <w:tcW w:w="73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53DEB5E9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1.0000</w:t>
            </w:r>
          </w:p>
        </w:tc>
        <w:tc>
          <w:tcPr>
            <w:tcW w:w="90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30E0E230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1.8140</w:t>
            </w:r>
          </w:p>
        </w:tc>
        <w:tc>
          <w:tcPr>
            <w:tcW w:w="935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41EDEDE3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0.8726</w:t>
            </w:r>
          </w:p>
        </w:tc>
        <w:tc>
          <w:tcPr>
            <w:tcW w:w="935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109B8F67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0.0083</w:t>
            </w:r>
          </w:p>
        </w:tc>
        <w:tc>
          <w:tcPr>
            <w:tcW w:w="96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7BE307FC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0.1191</w:t>
            </w:r>
          </w:p>
        </w:tc>
      </w:tr>
      <w:tr w14:paraId="4BAFDF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652048D5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10^24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60D255A4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interaction</w:t>
            </w:r>
          </w:p>
        </w:tc>
        <w:tc>
          <w:tcPr>
            <w:tcW w:w="879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719540AD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105.3997</w:t>
            </w:r>
          </w:p>
        </w:tc>
        <w:tc>
          <w:tcPr>
            <w:tcW w:w="102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2FDD456A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1381.9524</w:t>
            </w:r>
          </w:p>
        </w:tc>
        <w:tc>
          <w:tcPr>
            <w:tcW w:w="73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34D76975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1.0000</w:t>
            </w:r>
          </w:p>
        </w:tc>
        <w:tc>
          <w:tcPr>
            <w:tcW w:w="90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2E04EFF8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1.8312</w:t>
            </w:r>
          </w:p>
        </w:tc>
        <w:tc>
          <w:tcPr>
            <w:tcW w:w="935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0B78D6AB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0.8739</w:t>
            </w:r>
          </w:p>
        </w:tc>
        <w:tc>
          <w:tcPr>
            <w:tcW w:w="935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26AE99D4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0.0067</w:t>
            </w:r>
          </w:p>
        </w:tc>
        <w:tc>
          <w:tcPr>
            <w:tcW w:w="96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1BAECD2E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5"/>
              </w:rPr>
              <w:t>0.1193</w:t>
            </w:r>
          </w:p>
        </w:tc>
      </w:tr>
    </w:tbl>
    <w:p w14:paraId="268C332C">
      <w:pPr>
        <w:spacing w:after="40"/>
      </w:pPr>
    </w:p>
    <w:p w14:paraId="77FB4F67">
      <w:pPr>
        <w:pStyle w:val="32"/>
      </w:pPr>
      <w:r>
        <w:rPr>
          <w:rFonts w:ascii="黑体" w:hAnsi="黑体" w:eastAsia="黑体"/>
          <w:b/>
          <w:i w:val="0"/>
          <w:color w:val="000000"/>
          <w:sz w:val="23"/>
        </w:rPr>
        <w:t>5.2 配比自由优化的解释</w:t>
      </w:r>
    </w:p>
    <w:p w14:paraId="36E49DA5">
      <w:pPr>
        <w:keepNext/>
        <w:spacing w:before="60" w:after="100"/>
        <w:jc w:val="center"/>
      </w:pPr>
      <m:oMath>
        <m:r>
          <m:rPr/>
          <m:t>min</m:t>
        </m:r>
        <m:r>
          <m:rPr>
            <m:sty m:val="p"/>
          </m:rPr>
          <m:t>L(</m:t>
        </m:r>
        <m:r>
          <m:rPr/>
          <m:t>N</m:t>
        </m:r>
        <m:r>
          <m:rPr>
            <m:sty m:val="p"/>
          </m:rPr>
          <m:t>,</m:t>
        </m:r>
        <m:r>
          <m:rPr/>
          <m:t>D</m:t>
        </m:r>
        <m:r>
          <m:rPr>
            <m:sty m:val="p"/>
          </m:rPr>
          <m:t>,</m:t>
        </m:r>
        <m:r>
          <m:rPr/>
          <m:t>Q</m:t>
        </m:r>
        <m:r>
          <m:rPr>
            <m:sty m:val="p"/>
          </m:rPr>
          <m:t>,</m:t>
        </m:r>
        <m:r>
          <m:rPr/>
          <m:t>p</m:t>
        </m:r>
        <m:r>
          <m:rPr>
            <m:sty m:val="p"/>
          </m:rPr>
          <m:t>) =</m:t>
        </m:r>
        <m:r>
          <m:rPr/>
          <m:t>min</m:t>
        </m:r>
        <m:r>
          <m:rPr>
            <m:sty m:val="p"/>
          </m:rPr>
          <m:t>L</m:t>
        </m:r>
        <m:sSub>
          <m:sSubPr/>
          <m:e>
            <m:r>
              <m:rPr/>
              <m:t>scale</m:t>
            </m:r>
          </m:e>
          <m:sub/>
        </m:sSub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,</m:t>
        </m:r>
        <m:r>
          <m:rPr/>
          <m:t>D</m:t>
        </m:r>
        <m:r>
          <m:rPr>
            <m:sty m:val="p"/>
          </m:rPr>
          <m:t>,</m:t>
        </m:r>
        <m:r>
          <m:rPr/>
          <m:t>Q</m:t>
        </m:r>
        <m:r>
          <m:rPr>
            <m:sty m:val="p"/>
          </m:rPr>
          <m:t>) +</m:t>
        </m:r>
        <m:r>
          <m:rPr/>
          <m:t>lambdamin</m:t>
        </m:r>
        <m:r>
          <m:rPr>
            <m:sty m:val="p"/>
          </m:rPr>
          <m:t>H(</m:t>
        </m:r>
        <m:r>
          <m:rPr/>
          <m:t>p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000000"/>
          <w:sz w:val="19"/>
        </w:rPr>
        <w:t xml:space="preserve">  （可分离情形）</w:t>
      </w:r>
    </w:p>
    <w:p w14:paraId="66AB8F96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在这个公式中，p 只出现在 lambda H(p)，成本与 Q 不含 p，且 lambda 为正。因此联合最优化可拆成先求 p*=argmin H(p)，再求 N、D、Q；自由 p 的最优值必然回到固定 p*。实际结果中 PSO 的最大 free–fixed Loss 差为 1.33×10^−15，SLSQP 为 6.23×10^−11，均属于数值误差。这个结果不是‘配比不重要’，而是当前公式没有让 p 与 Q、成本或任务权重发生耦合。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4269C1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0B6E21A2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配比模式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0AE03148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算法</w:t>
            </w:r>
          </w:p>
        </w:tc>
        <w:tc>
          <w:tcPr>
            <w:tcW w:w="170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4FA1F188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中位时间(s)</w:t>
            </w:r>
          </w:p>
        </w:tc>
        <w:tc>
          <w:tcPr>
            <w:tcW w:w="170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702C692D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中位评估次数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4FA23775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命中率</w:t>
            </w:r>
          </w:p>
        </w:tc>
        <w:tc>
          <w:tcPr>
            <w:tcW w:w="1332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64E74015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结论</w:t>
            </w:r>
          </w:p>
        </w:tc>
      </w:tr>
      <w:tr w14:paraId="1C074D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2693F70A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fixed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5C00C69B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PSO</w:t>
            </w:r>
          </w:p>
        </w:tc>
        <w:tc>
          <w:tcPr>
            <w:tcW w:w="170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3F869782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0.1057</w:t>
            </w:r>
          </w:p>
        </w:tc>
        <w:tc>
          <w:tcPr>
            <w:tcW w:w="170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1E926E03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102,612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6FD4AEB0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1.000</w:t>
            </w:r>
          </w:p>
        </w:tc>
        <w:tc>
          <w:tcPr>
            <w:tcW w:w="1332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522F4315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解精度达到参考</w:t>
            </w:r>
          </w:p>
        </w:tc>
      </w:tr>
      <w:tr w14:paraId="13F49B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362A3CE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fixed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7DD26D70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SLSQP</w:t>
            </w:r>
          </w:p>
        </w:tc>
        <w:tc>
          <w:tcPr>
            <w:tcW w:w="170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497EE51F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0.0603</w:t>
            </w:r>
          </w:p>
        </w:tc>
        <w:tc>
          <w:tcPr>
            <w:tcW w:w="170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3413E28F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469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31C9C369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1.000</w:t>
            </w:r>
          </w:p>
        </w:tc>
        <w:tc>
          <w:tcPr>
            <w:tcW w:w="1332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42014B35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低维时更快</w:t>
            </w:r>
          </w:p>
        </w:tc>
      </w:tr>
      <w:tr w14:paraId="5C7DB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42A0BBA8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free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0C3326CD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PSO</w:t>
            </w:r>
          </w:p>
        </w:tc>
        <w:tc>
          <w:tcPr>
            <w:tcW w:w="170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74C955BB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0.1909</w:t>
            </w:r>
          </w:p>
        </w:tc>
        <w:tc>
          <w:tcPr>
            <w:tcW w:w="170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6C74F6A0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102,612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587370F1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1.000</w:t>
            </w:r>
          </w:p>
        </w:tc>
        <w:tc>
          <w:tcPr>
            <w:tcW w:w="1332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47BF0260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自由配比时更快</w:t>
            </w:r>
          </w:p>
        </w:tc>
      </w:tr>
      <w:tr w14:paraId="63517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70892740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free</w:t>
            </w:r>
          </w:p>
        </w:tc>
        <w:tc>
          <w:tcPr>
            <w:tcW w:w="119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33F0F5AD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SLSQP</w:t>
            </w:r>
          </w:p>
        </w:tc>
        <w:tc>
          <w:tcPr>
            <w:tcW w:w="170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79C50911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1.5009</w:t>
            </w:r>
          </w:p>
        </w:tc>
        <w:tc>
          <w:tcPr>
            <w:tcW w:w="170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0D0D4F8F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19,561.5</w:t>
            </w:r>
          </w:p>
        </w:tc>
        <w:tc>
          <w:tcPr>
            <w:tcW w:w="113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0A65A56F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1.000</w:t>
            </w:r>
          </w:p>
        </w:tc>
        <w:tc>
          <w:tcPr>
            <w:tcW w:w="1332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502CAD1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有限差分成本高</w:t>
            </w:r>
          </w:p>
        </w:tc>
      </w:tr>
    </w:tbl>
    <w:p w14:paraId="4154D1AD">
      <w:pPr>
        <w:spacing w:after="40"/>
      </w:pPr>
    </w:p>
    <w:p w14:paraId="0381307E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PSO 的优势是自由配比高维搜索中的批量计算和不依赖梯度；固定配比的低维问题中 SLSQP 更快，且本实验没有证据表明 PSO 更精确或具有全局最优保证。两者使用相同的可行域参数化，不能把所有改善归因于算法。预算 10^19 的 D 低于 B 拟合下界，10^24 的 N、D 高于 B 支持范围，表中配置属于代理模型外推。</w:t>
      </w:r>
    </w:p>
    <w:p w14:paraId="59631292">
      <w:pPr>
        <w:pStyle w:val="2"/>
      </w:pPr>
      <w:bookmarkStart w:id="8" w:name="_Toc31234"/>
      <w:r>
        <w:rPr>
          <w:rFonts w:ascii="黑体" w:hAnsi="黑体" w:eastAsia="黑体"/>
          <w:b/>
          <w:i w:val="0"/>
          <w:color w:val="000000"/>
          <w:sz w:val="28"/>
        </w:rPr>
        <w:t>6 问题四 模型能力演化与桥接</w:t>
      </w:r>
      <w:bookmarkEnd w:id="8"/>
    </w:p>
    <w:p w14:paraId="7F88C2F8">
      <w:pPr>
        <w:pStyle w:val="32"/>
      </w:pPr>
      <w:r>
        <w:rPr>
          <w:rFonts w:ascii="黑体" w:hAnsi="黑体" w:eastAsia="黑体"/>
          <w:b/>
          <w:i w:val="0"/>
          <w:color w:val="000000"/>
          <w:sz w:val="23"/>
        </w:rPr>
        <w:t>6.1 能力前沿与规模技术分解</w:t>
      </w:r>
    </w:p>
    <w:p w14:paraId="056B1BA8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问题四保持现有方法：C1 清理开源模型排行榜，C3 使用时间序列，C4 提取 epoch 与参数信息，C6 建立 Loss–能力桥接，C8 聚合六类任务。前沿模型通过 0.9 分位数回归建模：ln S = 2.480669 + 0.364315 ln N + 0.089045(year−2022)，样本数 2,493。C1 按 Submission Date 筛选，license 用正则匹配 apache、mit、bsd、cc-by、llama、gemma、open 等关键词；自定义许可并不等价于统一 OSI 许可。代码未按 pretrained/chat 分层，也没有将 C4 的主要参数、日期、openweights 和算力字段全部纳入因果控制，因此本节是统计描述，不是因果估计。</w:t>
      </w:r>
    </w:p>
    <w:p w14:paraId="677A320C">
      <w:pPr>
        <w:keepNext/>
        <w:spacing w:before="80" w:after="40"/>
        <w:jc w:val="center"/>
      </w:pPr>
      <w:r>
        <w:drawing>
          <wp:inline distT="0" distB="0" distL="114300" distR="114300">
            <wp:extent cx="4005580" cy="2591435"/>
            <wp:effectExtent l="0" t="0" r="13970" b="18415"/>
            <wp:docPr id="27" name="Picture 27" descr="图6-1 能力前沿与规模关系" title="图6-1 能力前沿与规模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图6-1 能力前沿与规模关系" title="图6-1 能力前沿与规模关系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05818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EE60">
      <w:pPr>
        <w:keepNext/>
        <w:spacing w:before="4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图6-1 能力前沿与规模关系</w:t>
      </w:r>
    </w:p>
    <w:p w14:paraId="38E98E8E">
      <w:pPr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555555"/>
          <w:sz w:val="19"/>
        </w:rPr>
        <w:t>能力前沿由分位数回归给出，体现高分位模型随规模和年份的统计趋势。</w:t>
      </w:r>
    </w:p>
    <w:p w14:paraId="0F48EB9A">
      <w:pPr>
        <w:keepNext/>
        <w:spacing w:before="80" w:after="40"/>
        <w:jc w:val="center"/>
      </w:pPr>
      <w:r>
        <w:drawing>
          <wp:inline distT="0" distB="0" distL="114300" distR="114300">
            <wp:extent cx="4406265" cy="2591435"/>
            <wp:effectExtent l="0" t="0" r="13335" b="18415"/>
            <wp:docPr id="28" name="Picture 28" descr="图6-2 规模与非规模技术分解" title="图6-2 规模与非规模技术分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图6-2 规模与非规模技术分解" title="图6-2 规模与非规模技术分解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064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4080">
      <w:pPr>
        <w:keepNext/>
        <w:spacing w:before="4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图6-2 规模与非规模技术分解</w:t>
      </w:r>
    </w:p>
    <w:p w14:paraId="32B99F99">
      <w:pPr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555555"/>
          <w:sz w:val="19"/>
        </w:rPr>
        <w:t>分解定义为 ΔlnS=规模项+非规模项。2021–2024 的规模份额约 38.40%，分母很小，不能作常规贡献率解释。</w:t>
      </w:r>
    </w:p>
    <w:p w14:paraId="05C16858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分段分解结果为：2019–2020 总增长 2.3026，其中规模 1.7339、非规模 0.5687；2020–2021 总增长 0，规模 −1.2288、非规模 1.2288；2021–2024 总增长 0.0243，规模 0.9343、非规模 −0.9100；2024–2025 总增长 −0.0816，规模 −0.3158、非规模 0.2342。2024–2025 的观测前沿从 51.2313 降到 47.2169，说明年度前沿与累积最大值口径不同。</w:t>
      </w:r>
    </w:p>
    <w:p w14:paraId="7F323450">
      <w:pPr>
        <w:pStyle w:val="32"/>
      </w:pPr>
      <w:r>
        <w:rPr>
          <w:rFonts w:ascii="黑体" w:hAnsi="黑体" w:eastAsia="黑体"/>
          <w:b/>
          <w:i w:val="0"/>
          <w:color w:val="000000"/>
          <w:sz w:val="23"/>
        </w:rPr>
        <w:t>6.2 Loss–能力桥接与情景预测</w:t>
      </w:r>
    </w:p>
    <w:p w14:paraId="5DC68F5D">
      <w:pPr>
        <w:keepNext/>
        <w:spacing w:before="60" w:after="100"/>
        <w:jc w:val="center"/>
      </w:pPr>
      <m:oMath>
        <m:r>
          <m:rPr/>
          <m:t>logit</m:t>
        </m:r>
        <m:r>
          <m:rPr>
            <m:sty m:val="p"/>
          </m:rPr>
          <m:t>(</m:t>
        </m:r>
        <m:r>
          <m:rPr/>
          <m:t>A</m:t>
        </m:r>
        <m:r>
          <m:rPr>
            <m:sty m:val="p"/>
          </m:rPr>
          <m:t>) = 0.851812 − 3.304270</m:t>
        </m:r>
        <m:r>
          <m:rPr/>
          <m:t>log</m:t>
        </m:r>
        <m:r>
          <m:rPr>
            <m:sty m:val="p"/>
          </m:rPr>
          <m:t>(</m:t>
        </m:r>
        <m:r>
          <m:rPr/>
          <m:t>Loss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000000"/>
          <w:sz w:val="19"/>
        </w:rPr>
        <w:t xml:space="preserve">  （桥接模型）</w:t>
      </w:r>
    </w:p>
    <w:p w14:paraId="695457CE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桥接回归使用 75 条记录，在 logit 能力尺度上的 R²=0.2759。高组 7 条记录的预测误差均值为 7.9625，标准差 2.6199；中组 68 条记录均值为 −3.1257，标准差 10.2610。两组来自不同验证口径，不能把误差均值直接拼接为统一的模型精度。</w:t>
      </w:r>
    </w:p>
    <w:p w14:paraId="7312C6FA">
      <w:pPr>
        <w:keepNext/>
        <w:spacing w:before="80" w:after="40"/>
        <w:jc w:val="center"/>
      </w:pPr>
      <w:r>
        <w:drawing>
          <wp:inline distT="0" distB="0" distL="114300" distR="114300">
            <wp:extent cx="3063240" cy="2591435"/>
            <wp:effectExtent l="0" t="0" r="3810" b="18415"/>
            <wp:docPr id="29" name="Picture 29" descr="图6-3 Loss 与能力桥接" title="图6-3 Loss 与能力桥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图6-3 Loss 与能力桥接" title="图6-3 Loss 与能力桥接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63272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A832">
      <w:pPr>
        <w:keepNext/>
        <w:spacing w:before="4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图6-3 Loss 与能力桥接</w:t>
      </w:r>
    </w:p>
    <w:p w14:paraId="587047FE">
      <w:pPr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555555"/>
          <w:sz w:val="19"/>
        </w:rPr>
        <w:t>桥接关系的解释力有限，误差分组差异较大，不能将问题三的代理损失直接宣称为真实 benchmark 提升。</w:t>
      </w:r>
    </w:p>
    <w:p w14:paraId="289728C3">
      <w:pPr>
        <w:keepNext/>
        <w:spacing w:before="80" w:after="40"/>
        <w:jc w:val="center"/>
      </w:pPr>
      <w:r>
        <w:drawing>
          <wp:inline distT="0" distB="0" distL="114300" distR="114300">
            <wp:extent cx="4607560" cy="2591435"/>
            <wp:effectExtent l="0" t="0" r="2540" b="18415"/>
            <wp:docPr id="30" name="Picture 30" descr="图6-4 C8 六项任务能力分布" title="图6-4 C8 六项任务能力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图6-4 C8 六项任务能力分布" title="图6-4 C8 六项任务能力分布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AE65">
      <w:pPr>
        <w:keepNext/>
        <w:spacing w:before="40" w:after="1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图6-4 C8 六项任务能力分布</w:t>
      </w:r>
    </w:p>
    <w:p w14:paraId="3271BAFA">
      <w:pPr>
        <w:spacing w:after="100" w:line="283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555555"/>
          <w:sz w:val="19"/>
        </w:rPr>
        <w:t>六项任务的均值分别为 BBH 0.4749、IFEval 0.4017、MUSR 0.3996、MMLU 0.3199、GPQA 0.2980、MATH 0.1132；各任务缺失模型数不同，均值不应粗略称为同一种准确率。</w:t>
      </w:r>
    </w:p>
    <w:p w14:paraId="522B607A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C4 参数增长模型给出 g_N=1.251125。以 2025 年基准、固定扰动 σ=0.12 的情景模拟预测，12 个月 base 中位数为 71.7060、slowdown 为 57.1054；24 个月 base 为 123.9170、slowdown 为 78.5591。24 个月 base 超过能力上限 100，属于模型失效情景，报告保留原始数值并标明不能裁剪为 100；区间是固定扰动下的 P10–P90 情景范围，不是重抽样置信区间。</w:t>
      </w:r>
    </w:p>
    <w:p w14:paraId="5A079C6B">
      <w:pPr>
        <w:pStyle w:val="2"/>
      </w:pPr>
      <w:bookmarkStart w:id="9" w:name="_Toc15733"/>
      <w:r>
        <w:rPr>
          <w:rFonts w:ascii="黑体" w:hAnsi="黑体" w:eastAsia="黑体"/>
          <w:b/>
          <w:i w:val="0"/>
          <w:color w:val="000000"/>
          <w:sz w:val="28"/>
        </w:rPr>
        <w:t>7 综合结论、限制与可检验的后续工作</w:t>
      </w:r>
      <w:bookmarkEnd w:id="9"/>
    </w:p>
    <w:p w14:paraId="34591AC5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第一问说明质量建模的主要敏感源是方向规则、冲突处理和样本不平衡。分领域方向让域间排序发生明显变化，语义扣减可连续处理有效冲突，但当前没有熵罚分输入，也没有外部人工质量标签。第三小问的 M2 在 1M 配比测试上明显优于岭回归与共享系数 M1，但跨尺度诊断下降，不能将 H(p) 当作跨来源已验证定律。</w:t>
      </w:r>
    </w:p>
    <w:p w14:paraId="1E4CBD17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第二问中，additive+H* 的 OOF RMSE 最低，H* 带来约 0.87%–2.56% 的误差下降，但 H* 对 B 为常数，因此其机制解释是截距修正而非配比效应识别。quality_power 的 kappa 接近 1，与 additive 的近线性质量惩罚相近，没有显示稳定优势。第三问在可分离代理中重新开放 p 不带来实质收益，这是公式结构的数学结果；要研究 p 与 Q 的真实联动，需要有同一 N、D 下多种 p 和多种域内质量处理的联合实验。</w:t>
      </w:r>
    </w:p>
    <w:p w14:paraId="316D7FA2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问题三的 PSO 在自由配比高维问题上运行更快，固定配比低维问题中 SLSQP 更快；不能据此说 PSO 普遍优于最小二乘规划。问题四的能力前沿和桥接可作为外部背景与量纲检查，但当前没有将 pretrained/chat、C4 算力和数据量做完整分层控制，也不能把 Q3 代理最优点闭合为真实 benchmark 提升。</w:t>
      </w:r>
    </w:p>
    <w:p w14:paraId="6FF60381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后续实验应至少包含三类设计：第一，在每个质量域固定配比并改变域内质量处理，检验 Q 是否可在不同 p 下独立调节；第二，在相同 N、D、Q 下改变 p，并记录真实训练损失，检验 H(p) 是否跨规模迁移；第三，补齐 B 中的逐行 p 或建立经过校准的七域到十七域映射，再比较联合模型、交互项模型和可分离模型。只有在这些数据条件下，lambda 才能从截距参数升级为可解释的配比效应参数。</w:t>
      </w:r>
    </w:p>
    <w:p w14:paraId="3A71BFA3">
      <w:pPr>
        <w:pStyle w:val="2"/>
      </w:pPr>
      <w:bookmarkStart w:id="10" w:name="_Toc11388"/>
      <w:r>
        <w:rPr>
          <w:rFonts w:ascii="黑体" w:hAnsi="黑体" w:eastAsia="黑体"/>
          <w:b/>
          <w:i w:val="0"/>
          <w:color w:val="000000"/>
          <w:sz w:val="28"/>
        </w:rPr>
        <w:t>附录 A 主要参数与配比</w:t>
      </w:r>
      <w:bookmarkEnd w:id="10"/>
    </w:p>
    <w:p w14:paraId="4D664698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问题二选中的 additive+H* 全量参数为 A=0.529124、a=0.283218、B=1.328565、b=0.299575、C=0.362013、g=0.990520、lambda=1.884377、E_eff=1.520819。H*=−0.089673，E 为 1.689798。问题三主流程读取该选优模型，不重新拟合标度律参数。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1533C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2E9F2DD5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配方域</w:t>
            </w:r>
          </w:p>
        </w:tc>
        <w:tc>
          <w:tcPr>
            <w:tcW w:w="136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7773DC3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p*</w:t>
            </w:r>
          </w:p>
        </w:tc>
        <w:tc>
          <w:tcPr>
            <w:tcW w:w="238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15619594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配方域</w:t>
            </w:r>
          </w:p>
        </w:tc>
        <w:tc>
          <w:tcPr>
            <w:tcW w:w="136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2ED330F8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p*</w:t>
            </w:r>
          </w:p>
        </w:tc>
      </w:tr>
      <w:tr w14:paraId="13E6E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44A0D54F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arxiv</w:t>
            </w:r>
          </w:p>
        </w:tc>
        <w:tc>
          <w:tcPr>
            <w:tcW w:w="136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02068FB5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0.065941</w:t>
            </w:r>
          </w:p>
        </w:tc>
        <w:tc>
          <w:tcPr>
            <w:tcW w:w="238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4221D41E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enron_emails</w:t>
            </w:r>
          </w:p>
        </w:tc>
        <w:tc>
          <w:tcPr>
            <w:tcW w:w="136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016C45D7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0.010386</w:t>
            </w:r>
          </w:p>
        </w:tc>
      </w:tr>
      <w:tr w14:paraId="3FE79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1202FE90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freelaw</w:t>
            </w:r>
          </w:p>
        </w:tc>
        <w:tc>
          <w:tcPr>
            <w:tcW w:w="136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66A80995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0.059206</w:t>
            </w:r>
          </w:p>
        </w:tc>
        <w:tc>
          <w:tcPr>
            <w:tcW w:w="238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0ECF266D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gutenberg_pg_19</w:t>
            </w:r>
          </w:p>
        </w:tc>
        <w:tc>
          <w:tcPr>
            <w:tcW w:w="136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239A8464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0.027128</w:t>
            </w:r>
          </w:p>
        </w:tc>
      </w:tr>
      <w:tr w14:paraId="29673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2F24A3EB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nih_exporter</w:t>
            </w:r>
          </w:p>
        </w:tc>
        <w:tc>
          <w:tcPr>
            <w:tcW w:w="136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1D95D6C0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0.010120</w:t>
            </w:r>
          </w:p>
        </w:tc>
        <w:tc>
          <w:tcPr>
            <w:tcW w:w="238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3A60E0F9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pile_cc</w:t>
            </w:r>
          </w:p>
        </w:tc>
        <w:tc>
          <w:tcPr>
            <w:tcW w:w="136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5C64B9EF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0.105455</w:t>
            </w:r>
          </w:p>
        </w:tc>
      </w:tr>
      <w:tr w14:paraId="0E091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7C7A950E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pubmed_central</w:t>
            </w:r>
          </w:p>
        </w:tc>
        <w:tc>
          <w:tcPr>
            <w:tcW w:w="136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1A6C7AFB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0.082819</w:t>
            </w:r>
          </w:p>
        </w:tc>
        <w:tc>
          <w:tcPr>
            <w:tcW w:w="238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5DCC1854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ubuntu_irc</w:t>
            </w:r>
          </w:p>
        </w:tc>
        <w:tc>
          <w:tcPr>
            <w:tcW w:w="136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00AFEF8C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0.102644</w:t>
            </w:r>
          </w:p>
        </w:tc>
      </w:tr>
      <w:tr w14:paraId="666DE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1D280380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wikipedia_en</w:t>
            </w:r>
          </w:p>
        </w:tc>
        <w:tc>
          <w:tcPr>
            <w:tcW w:w="136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747A52CC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0.060945</w:t>
            </w:r>
          </w:p>
        </w:tc>
        <w:tc>
          <w:tcPr>
            <w:tcW w:w="238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45AD7874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europarl</w:t>
            </w:r>
          </w:p>
        </w:tc>
        <w:tc>
          <w:tcPr>
            <w:tcW w:w="136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11780B72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0.000000</w:t>
            </w:r>
          </w:p>
        </w:tc>
      </w:tr>
      <w:tr w14:paraId="713D4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0605611A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dm_mathematics</w:t>
            </w:r>
          </w:p>
        </w:tc>
        <w:tc>
          <w:tcPr>
            <w:tcW w:w="136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74EF42D7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0.129520</w:t>
            </w:r>
          </w:p>
        </w:tc>
        <w:tc>
          <w:tcPr>
            <w:tcW w:w="238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21808ECB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hackernews</w:t>
            </w:r>
          </w:p>
        </w:tc>
        <w:tc>
          <w:tcPr>
            <w:tcW w:w="136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109AB240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0.040485</w:t>
            </w:r>
          </w:p>
        </w:tc>
      </w:tr>
      <w:tr w14:paraId="278C9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6E1A3938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github</w:t>
            </w:r>
          </w:p>
        </w:tc>
        <w:tc>
          <w:tcPr>
            <w:tcW w:w="136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51D62548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0.069749</w:t>
            </w:r>
          </w:p>
        </w:tc>
        <w:tc>
          <w:tcPr>
            <w:tcW w:w="238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61481D9D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pubmed_abstracts</w:t>
            </w:r>
          </w:p>
        </w:tc>
        <w:tc>
          <w:tcPr>
            <w:tcW w:w="136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6B105DAE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0.048675</w:t>
            </w:r>
          </w:p>
        </w:tc>
      </w:tr>
      <w:tr w14:paraId="7C5726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07B3437A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philpapers</w:t>
            </w:r>
          </w:p>
        </w:tc>
        <w:tc>
          <w:tcPr>
            <w:tcW w:w="136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564C4C3E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0.014526</w:t>
            </w:r>
          </w:p>
        </w:tc>
        <w:tc>
          <w:tcPr>
            <w:tcW w:w="238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293E4508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uspto_backgrounds</w:t>
            </w:r>
          </w:p>
        </w:tc>
        <w:tc>
          <w:tcPr>
            <w:tcW w:w="136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215DD71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0.044692</w:t>
            </w:r>
          </w:p>
        </w:tc>
      </w:tr>
      <w:tr w14:paraId="5A8AC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7218E63C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stackexchange</w:t>
            </w:r>
          </w:p>
        </w:tc>
        <w:tc>
          <w:tcPr>
            <w:tcW w:w="136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2C0A95B0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0.127709</w:t>
            </w:r>
          </w:p>
        </w:tc>
        <w:tc>
          <w:tcPr>
            <w:tcW w:w="238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79A96029">
            <w:pPr>
              <w:spacing w:after="0" w:line="252" w:lineRule="auto"/>
              <w:jc w:val="center"/>
            </w:pPr>
          </w:p>
        </w:tc>
        <w:tc>
          <w:tcPr>
            <w:tcW w:w="1361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74FB654C">
            <w:pPr>
              <w:spacing w:after="0" w:line="252" w:lineRule="auto"/>
              <w:jc w:val="center"/>
            </w:pPr>
          </w:p>
        </w:tc>
      </w:tr>
    </w:tbl>
    <w:p w14:paraId="3FD1466B">
      <w:pPr>
        <w:spacing w:after="40"/>
      </w:pPr>
    </w:p>
    <w:p w14:paraId="2BE72A90">
      <w:pPr>
        <w:pStyle w:val="2"/>
      </w:pPr>
      <w:bookmarkStart w:id="11" w:name="_Toc31859"/>
      <w:r>
        <w:rPr>
          <w:rFonts w:ascii="黑体" w:hAnsi="黑体" w:eastAsia="黑体"/>
          <w:b/>
          <w:i w:val="0"/>
          <w:color w:val="000000"/>
          <w:sz w:val="28"/>
        </w:rPr>
        <w:t>附录 B 结果文件与复现入口</w:t>
      </w:r>
      <w:bookmarkEnd w:id="11"/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5F9050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7329956B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脚本</w:t>
            </w:r>
          </w:p>
        </w:tc>
        <w:tc>
          <w:tcPr>
            <w:tcW w:w="3402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7622333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实验内容</w:t>
            </w:r>
          </w:p>
        </w:tc>
        <w:tc>
          <w:tcPr>
            <w:tcW w:w="292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4F5B66"/>
            <w:vAlign w:val="center"/>
          </w:tcPr>
          <w:p w14:paraId="39481BD1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主要输出</w:t>
            </w:r>
          </w:p>
        </w:tc>
      </w:tr>
      <w:tr w14:paraId="4FD500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6751A1A5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q1_quality.py</w:t>
            </w:r>
          </w:p>
        </w:tc>
        <w:tc>
          <w:tcPr>
            <w:tcW w:w="3402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28E71708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Q1.1–1.2 质量方向与冲突</w:t>
            </w:r>
          </w:p>
        </w:tc>
        <w:tc>
          <w:tcPr>
            <w:tcW w:w="292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023A753B"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main_domain_quality.csv；14张图</w:t>
            </w:r>
          </w:p>
        </w:tc>
      </w:tr>
      <w:tr w14:paraId="54032E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73710F51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q1_mixture.py</w:t>
            </w:r>
          </w:p>
        </w:tc>
        <w:tc>
          <w:tcPr>
            <w:tcW w:w="3402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7E1D14D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Q1.3 M1/M2/岭回归</w:t>
            </w:r>
          </w:p>
        </w:tc>
        <w:tc>
          <w:tcPr>
            <w:tcW w:w="292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3589B3E2"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mixture_models.json；3张图</w:t>
            </w:r>
          </w:p>
        </w:tc>
      </w:tr>
      <w:tr w14:paraId="35279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53A2754A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q2_baseline.py</w:t>
            </w:r>
          </w:p>
        </w:tc>
        <w:tc>
          <w:tcPr>
            <w:tcW w:w="3402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2A88FB3D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经典标度律与迁移</w:t>
            </w:r>
          </w:p>
        </w:tc>
        <w:tc>
          <w:tcPr>
            <w:tcW w:w="292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0994C720"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classical_baseline.json；00图</w:t>
            </w:r>
          </w:p>
        </w:tc>
      </w:tr>
      <w:tr w14:paraId="20E0E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407939F2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q2_scaling.py</w:t>
            </w:r>
          </w:p>
        </w:tc>
        <w:tc>
          <w:tcPr>
            <w:tcW w:w="3402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37775CE8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六项广义标度律</w:t>
            </w:r>
          </w:p>
        </w:tc>
        <w:tc>
          <w:tcPr>
            <w:tcW w:w="292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213A150B"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model_performance.csv；01–03图</w:t>
            </w:r>
          </w:p>
        </w:tc>
      </w:tr>
      <w:tr w14:paraId="7D351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76E58C0C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q3_optimization.py</w:t>
            </w:r>
          </w:p>
        </w:tc>
        <w:tc>
          <w:tcPr>
            <w:tcW w:w="3402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11B50210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PSO、SLSQP与情景约束</w:t>
            </w:r>
          </w:p>
        </w:tc>
        <w:tc>
          <w:tcPr>
            <w:tcW w:w="292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72559482"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main_optimal_configurations.csv；8张图</w:t>
            </w:r>
          </w:p>
        </w:tc>
      </w:tr>
      <w:tr w14:paraId="4C8A6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51980C13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q4_evolution.py</w:t>
            </w:r>
          </w:p>
        </w:tc>
        <w:tc>
          <w:tcPr>
            <w:tcW w:w="3402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6D7F58BF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能力前沿、桥接与任务</w:t>
            </w:r>
          </w:p>
        </w:tc>
        <w:tc>
          <w:tcPr>
            <w:tcW w:w="292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shd w:val="clear" w:color="auto" w:fill="F2F4F5"/>
            <w:vAlign w:val="center"/>
          </w:tcPr>
          <w:p w14:paraId="37D50F41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q4_results.json；4张图</w:t>
            </w:r>
          </w:p>
        </w:tc>
      </w:tr>
      <w:tr w14:paraId="27E94A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74F1E7F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validate_project.py</w:t>
            </w:r>
          </w:p>
        </w:tc>
        <w:tc>
          <w:tcPr>
            <w:tcW w:w="3402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54BF433F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全流程审计</w:t>
            </w:r>
          </w:p>
        </w:tc>
        <w:tc>
          <w:tcPr>
            <w:tcW w:w="2920" w:type="dxa"/>
            <w:tcBorders>
              <w:top w:val="single" w:color="B7B7B7" w:sz="4" w:space="0"/>
              <w:left w:val="single" w:color="D9D9D9" w:sz="4" w:space="0"/>
              <w:bottom w:val="single" w:color="B7B7B7" w:sz="4" w:space="0"/>
              <w:right w:val="single" w:color="D9D9D9" w:sz="4" w:space="0"/>
            </w:tcBorders>
            <w:vAlign w:val="center"/>
          </w:tcPr>
          <w:p w14:paraId="3BEA0830">
            <w:pPr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project_validation.json</w:t>
            </w:r>
          </w:p>
        </w:tc>
      </w:tr>
    </w:tbl>
    <w:p w14:paraId="00A0AD80">
      <w:pPr>
        <w:spacing w:after="40"/>
      </w:pPr>
    </w:p>
    <w:p w14:paraId="01B6E9DD">
      <w:pPr>
        <w:spacing w:after="80" w:line="30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完整 CSV、JSON、分析 markdown 和 PNG 保留在 results/q1 至 results/q4。运行入口为 python src/run_all.py；独立运行前须满足 README 中的依赖顺序。报告生成辅助脚本位于 results/report/working，仅用于本文档构建与渲染 QA。</w:t>
      </w:r>
    </w:p>
    <w:p w14:paraId="7505CFF8">
      <w:pPr>
        <w:pStyle w:val="2"/>
      </w:pPr>
      <w:bookmarkStart w:id="12" w:name="_Toc6612"/>
      <w:r>
        <w:rPr>
          <w:rFonts w:ascii="黑体" w:hAnsi="黑体" w:eastAsia="黑体"/>
          <w:b/>
          <w:i w:val="0"/>
          <w:color w:val="000000"/>
          <w:sz w:val="28"/>
        </w:rPr>
        <w:t>参考资料</w:t>
      </w:r>
      <w:bookmarkEnd w:id="12"/>
    </w:p>
    <w:p w14:paraId="73067D9B">
      <w:pPr>
        <w:spacing w:after="60"/>
        <w:ind w:left="420" w:hanging="42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项目题目文件：《算力约束下提升大语言模型能力的资源配置建模》。</w:t>
      </w:r>
    </w:p>
    <w:p w14:paraId="794B05A2">
      <w:pPr>
        <w:spacing w:after="60"/>
        <w:ind w:left="420" w:hanging="42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项目数据说明文件及 real_attachments 中的 A、B、C 数据附件。</w:t>
      </w:r>
    </w:p>
    <w:p w14:paraId="4869A5AB">
      <w:pPr>
        <w:spacing w:after="60"/>
        <w:ind w:left="420" w:hanging="42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Kaplan, J. et al. Scaling Laws for Neural Language Models. arXiv:2001.08361, 2020.</w:t>
      </w:r>
    </w:p>
    <w:p w14:paraId="70155699">
      <w:pPr>
        <w:spacing w:after="60"/>
        <w:ind w:left="420" w:hanging="42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Hoffmann, J. et al. Training Compute-Optimal Large Language Models. arXiv:2203.15556, 2022.</w:t>
      </w:r>
    </w:p>
    <w:p w14:paraId="0EC2248B">
      <w:pPr>
        <w:spacing w:after="60"/>
        <w:ind w:left="420" w:hanging="42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Biderman, S. et al. Pythia: A Suite for Analyzing Large Language Models Across Training and Scaling. ICML, 2023.</w:t>
      </w:r>
    </w:p>
    <w:p w14:paraId="767BBFD9">
      <w:pPr>
        <w:spacing w:after="60"/>
        <w:ind w:left="420" w:hanging="42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RegMix 数据混合回归实验及其项目内 A 数据导出结果。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440" w:right="1800" w:bottom="1440" w:left="1800" w:header="851" w:footer="992" w:gutter="0"/>
      <w:pgNumType w:start="1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5DF082">
    <w:pPr>
      <w:jc w:val="center"/>
    </w:pPr>
    <w:r>
      <w:rPr>
        <w:rFonts w:ascii="Times New Roman" w:hAnsi="Times New Roman" w:eastAsia="宋体"/>
        <w:b w:val="0"/>
        <w:i w:val="0"/>
        <w:color w:val="000000"/>
        <w:sz w:val="18"/>
      </w:rPr>
      <w:fldChar w:fldCharType="begin"/>
    </w:r>
    <w:r>
      <w:rPr>
        <w:rFonts w:ascii="Times New Roman" w:hAnsi="Times New Roman" w:eastAsia="宋体"/>
        <w:b w:val="0"/>
        <w:i w:val="0"/>
        <w:color w:val="000000"/>
        <w:sz w:val="18"/>
      </w:rPr>
      <w:instrText xml:space="preserve">PAGE</w:instrText>
    </w:r>
    <w:r>
      <w:rPr>
        <w:rFonts w:ascii="Times New Roman" w:hAnsi="Times New Roman" w:eastAsia="宋体"/>
        <w:b w:val="0"/>
        <w:i w:val="0"/>
        <w:color w:val="000000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B140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7" w:lineRule="auto"/>
        <w:ind w:firstLine="420"/>
      </w:pPr>
      <w:r>
        <w:separator/>
      </w:r>
    </w:p>
  </w:footnote>
  <w:footnote w:type="continuationSeparator" w:id="1">
    <w:p>
      <w:pPr>
        <w:spacing w:before="0" w:after="0" w:line="307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35B46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25AB3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18E"/>
    <w:rsid w:val="00000E28"/>
    <w:rsid w:val="00010498"/>
    <w:rsid w:val="00015E06"/>
    <w:rsid w:val="000337B9"/>
    <w:rsid w:val="00041A2F"/>
    <w:rsid w:val="00043F9A"/>
    <w:rsid w:val="00044340"/>
    <w:rsid w:val="00044D8E"/>
    <w:rsid w:val="0005303A"/>
    <w:rsid w:val="0005642A"/>
    <w:rsid w:val="00061282"/>
    <w:rsid w:val="00064E9F"/>
    <w:rsid w:val="00065A34"/>
    <w:rsid w:val="00066718"/>
    <w:rsid w:val="00072842"/>
    <w:rsid w:val="000738A0"/>
    <w:rsid w:val="00076EC8"/>
    <w:rsid w:val="00086E2A"/>
    <w:rsid w:val="00095432"/>
    <w:rsid w:val="00096DE5"/>
    <w:rsid w:val="000A695A"/>
    <w:rsid w:val="000A73CA"/>
    <w:rsid w:val="000C1EB4"/>
    <w:rsid w:val="000C7196"/>
    <w:rsid w:val="000D6134"/>
    <w:rsid w:val="00100B17"/>
    <w:rsid w:val="00120AA0"/>
    <w:rsid w:val="00122198"/>
    <w:rsid w:val="00126148"/>
    <w:rsid w:val="001739F1"/>
    <w:rsid w:val="001A0028"/>
    <w:rsid w:val="001B70CB"/>
    <w:rsid w:val="001C192D"/>
    <w:rsid w:val="001C7E29"/>
    <w:rsid w:val="001D78A7"/>
    <w:rsid w:val="001E4A19"/>
    <w:rsid w:val="001F34B6"/>
    <w:rsid w:val="001F38C2"/>
    <w:rsid w:val="001F3AD3"/>
    <w:rsid w:val="00212198"/>
    <w:rsid w:val="002209C0"/>
    <w:rsid w:val="00225C00"/>
    <w:rsid w:val="002444BB"/>
    <w:rsid w:val="002529DE"/>
    <w:rsid w:val="00254342"/>
    <w:rsid w:val="00265CC7"/>
    <w:rsid w:val="0027236E"/>
    <w:rsid w:val="00277D73"/>
    <w:rsid w:val="002C0F9B"/>
    <w:rsid w:val="002D2B31"/>
    <w:rsid w:val="002D4A64"/>
    <w:rsid w:val="002E1D25"/>
    <w:rsid w:val="003222DE"/>
    <w:rsid w:val="003253DB"/>
    <w:rsid w:val="003307AC"/>
    <w:rsid w:val="0033189D"/>
    <w:rsid w:val="00347F67"/>
    <w:rsid w:val="0035348F"/>
    <w:rsid w:val="00355B54"/>
    <w:rsid w:val="00364ABE"/>
    <w:rsid w:val="00366234"/>
    <w:rsid w:val="00367531"/>
    <w:rsid w:val="00386C76"/>
    <w:rsid w:val="00395D2A"/>
    <w:rsid w:val="003A4D6A"/>
    <w:rsid w:val="003B018E"/>
    <w:rsid w:val="003B44CA"/>
    <w:rsid w:val="003B4992"/>
    <w:rsid w:val="003C3EC1"/>
    <w:rsid w:val="003E155E"/>
    <w:rsid w:val="003E2DE3"/>
    <w:rsid w:val="003F4416"/>
    <w:rsid w:val="00406177"/>
    <w:rsid w:val="00412EBE"/>
    <w:rsid w:val="0044609F"/>
    <w:rsid w:val="00451DBE"/>
    <w:rsid w:val="004533C9"/>
    <w:rsid w:val="0045636E"/>
    <w:rsid w:val="00463098"/>
    <w:rsid w:val="004639A6"/>
    <w:rsid w:val="00463E3F"/>
    <w:rsid w:val="00464E0B"/>
    <w:rsid w:val="004775E2"/>
    <w:rsid w:val="00483A55"/>
    <w:rsid w:val="004925FD"/>
    <w:rsid w:val="0049280D"/>
    <w:rsid w:val="00496EEE"/>
    <w:rsid w:val="004A2429"/>
    <w:rsid w:val="004A38E1"/>
    <w:rsid w:val="004B0B43"/>
    <w:rsid w:val="004B394F"/>
    <w:rsid w:val="004E0BA4"/>
    <w:rsid w:val="004F0EE4"/>
    <w:rsid w:val="004F2227"/>
    <w:rsid w:val="004F29EB"/>
    <w:rsid w:val="004F7CDF"/>
    <w:rsid w:val="005108EB"/>
    <w:rsid w:val="00525494"/>
    <w:rsid w:val="00543834"/>
    <w:rsid w:val="00544C02"/>
    <w:rsid w:val="00546241"/>
    <w:rsid w:val="005467DA"/>
    <w:rsid w:val="005475F8"/>
    <w:rsid w:val="0056506A"/>
    <w:rsid w:val="00592B7A"/>
    <w:rsid w:val="005A5997"/>
    <w:rsid w:val="005B5FE4"/>
    <w:rsid w:val="005C2FD8"/>
    <w:rsid w:val="005C565E"/>
    <w:rsid w:val="005D37E8"/>
    <w:rsid w:val="005D44DD"/>
    <w:rsid w:val="005D7E58"/>
    <w:rsid w:val="005F0D85"/>
    <w:rsid w:val="005F1380"/>
    <w:rsid w:val="005F52AA"/>
    <w:rsid w:val="00624D9D"/>
    <w:rsid w:val="00646202"/>
    <w:rsid w:val="00650B72"/>
    <w:rsid w:val="00660FD1"/>
    <w:rsid w:val="00664E52"/>
    <w:rsid w:val="006869EF"/>
    <w:rsid w:val="00692422"/>
    <w:rsid w:val="00693BD6"/>
    <w:rsid w:val="00695B6B"/>
    <w:rsid w:val="006A13DF"/>
    <w:rsid w:val="006A50D1"/>
    <w:rsid w:val="006A65A8"/>
    <w:rsid w:val="006C210E"/>
    <w:rsid w:val="006C2EE1"/>
    <w:rsid w:val="006C7E64"/>
    <w:rsid w:val="006F3A6C"/>
    <w:rsid w:val="006F4692"/>
    <w:rsid w:val="00705274"/>
    <w:rsid w:val="00710ECF"/>
    <w:rsid w:val="00725FBD"/>
    <w:rsid w:val="0073665D"/>
    <w:rsid w:val="00747F62"/>
    <w:rsid w:val="00772CA6"/>
    <w:rsid w:val="00776AC1"/>
    <w:rsid w:val="007964A8"/>
    <w:rsid w:val="007A3359"/>
    <w:rsid w:val="007A42EB"/>
    <w:rsid w:val="007C6C67"/>
    <w:rsid w:val="007D3A16"/>
    <w:rsid w:val="007D41B0"/>
    <w:rsid w:val="007D78B4"/>
    <w:rsid w:val="007E5F01"/>
    <w:rsid w:val="007E7C09"/>
    <w:rsid w:val="007F643C"/>
    <w:rsid w:val="0080468D"/>
    <w:rsid w:val="00807F41"/>
    <w:rsid w:val="00817794"/>
    <w:rsid w:val="0082209A"/>
    <w:rsid w:val="0083047C"/>
    <w:rsid w:val="00837581"/>
    <w:rsid w:val="00840ACC"/>
    <w:rsid w:val="008417C1"/>
    <w:rsid w:val="00856AAD"/>
    <w:rsid w:val="00861DBE"/>
    <w:rsid w:val="00863824"/>
    <w:rsid w:val="00866156"/>
    <w:rsid w:val="00873575"/>
    <w:rsid w:val="00877CC8"/>
    <w:rsid w:val="00882604"/>
    <w:rsid w:val="008A5BA9"/>
    <w:rsid w:val="008A782A"/>
    <w:rsid w:val="008B6AC7"/>
    <w:rsid w:val="008B7268"/>
    <w:rsid w:val="008C4615"/>
    <w:rsid w:val="008E5E8A"/>
    <w:rsid w:val="008F40FC"/>
    <w:rsid w:val="008F63A6"/>
    <w:rsid w:val="00901C10"/>
    <w:rsid w:val="00906378"/>
    <w:rsid w:val="009076BD"/>
    <w:rsid w:val="00914112"/>
    <w:rsid w:val="009215A2"/>
    <w:rsid w:val="00926F93"/>
    <w:rsid w:val="009405CE"/>
    <w:rsid w:val="00940C98"/>
    <w:rsid w:val="009436D3"/>
    <w:rsid w:val="00943827"/>
    <w:rsid w:val="00954012"/>
    <w:rsid w:val="0095791D"/>
    <w:rsid w:val="00962E22"/>
    <w:rsid w:val="00964C91"/>
    <w:rsid w:val="00982DBB"/>
    <w:rsid w:val="00987A93"/>
    <w:rsid w:val="009930BE"/>
    <w:rsid w:val="0099340E"/>
    <w:rsid w:val="00994ACE"/>
    <w:rsid w:val="00996D62"/>
    <w:rsid w:val="009C4D04"/>
    <w:rsid w:val="009F0B28"/>
    <w:rsid w:val="009F16C9"/>
    <w:rsid w:val="009F3E71"/>
    <w:rsid w:val="009F52A1"/>
    <w:rsid w:val="00A1206D"/>
    <w:rsid w:val="00A2031A"/>
    <w:rsid w:val="00A2268F"/>
    <w:rsid w:val="00A2413E"/>
    <w:rsid w:val="00A41154"/>
    <w:rsid w:val="00A42213"/>
    <w:rsid w:val="00A434F6"/>
    <w:rsid w:val="00A437D0"/>
    <w:rsid w:val="00A44389"/>
    <w:rsid w:val="00A627D9"/>
    <w:rsid w:val="00A65919"/>
    <w:rsid w:val="00A66325"/>
    <w:rsid w:val="00A76B55"/>
    <w:rsid w:val="00A86E92"/>
    <w:rsid w:val="00A9179B"/>
    <w:rsid w:val="00AA29C1"/>
    <w:rsid w:val="00AA65A0"/>
    <w:rsid w:val="00AA680F"/>
    <w:rsid w:val="00AB6923"/>
    <w:rsid w:val="00AC2DD9"/>
    <w:rsid w:val="00AC4990"/>
    <w:rsid w:val="00AD0212"/>
    <w:rsid w:val="00AD0833"/>
    <w:rsid w:val="00AE3346"/>
    <w:rsid w:val="00AE40D1"/>
    <w:rsid w:val="00AF5309"/>
    <w:rsid w:val="00AF6FFB"/>
    <w:rsid w:val="00B007B7"/>
    <w:rsid w:val="00B05469"/>
    <w:rsid w:val="00B450EF"/>
    <w:rsid w:val="00B51599"/>
    <w:rsid w:val="00B51FB3"/>
    <w:rsid w:val="00B668CB"/>
    <w:rsid w:val="00B72182"/>
    <w:rsid w:val="00B76995"/>
    <w:rsid w:val="00B81A4E"/>
    <w:rsid w:val="00B933D9"/>
    <w:rsid w:val="00BA098B"/>
    <w:rsid w:val="00BA1675"/>
    <w:rsid w:val="00BA56D8"/>
    <w:rsid w:val="00BB0DD7"/>
    <w:rsid w:val="00BB2546"/>
    <w:rsid w:val="00BC340F"/>
    <w:rsid w:val="00BC55C0"/>
    <w:rsid w:val="00BD1DE6"/>
    <w:rsid w:val="00BE1421"/>
    <w:rsid w:val="00C03584"/>
    <w:rsid w:val="00C03900"/>
    <w:rsid w:val="00C126D6"/>
    <w:rsid w:val="00C23693"/>
    <w:rsid w:val="00C27024"/>
    <w:rsid w:val="00C320A1"/>
    <w:rsid w:val="00C63F0E"/>
    <w:rsid w:val="00C708FA"/>
    <w:rsid w:val="00C70BA1"/>
    <w:rsid w:val="00C91335"/>
    <w:rsid w:val="00CC6668"/>
    <w:rsid w:val="00CD48DC"/>
    <w:rsid w:val="00CE1AE1"/>
    <w:rsid w:val="00CE1E19"/>
    <w:rsid w:val="00CF3F15"/>
    <w:rsid w:val="00D15B9D"/>
    <w:rsid w:val="00D31DD5"/>
    <w:rsid w:val="00D33F76"/>
    <w:rsid w:val="00D530B3"/>
    <w:rsid w:val="00D61C97"/>
    <w:rsid w:val="00D63635"/>
    <w:rsid w:val="00D63B75"/>
    <w:rsid w:val="00D648AC"/>
    <w:rsid w:val="00D71062"/>
    <w:rsid w:val="00D775D1"/>
    <w:rsid w:val="00D7764C"/>
    <w:rsid w:val="00D81C39"/>
    <w:rsid w:val="00D82475"/>
    <w:rsid w:val="00D8616E"/>
    <w:rsid w:val="00D922A0"/>
    <w:rsid w:val="00D92F2B"/>
    <w:rsid w:val="00D97BEC"/>
    <w:rsid w:val="00DA765D"/>
    <w:rsid w:val="00DC1469"/>
    <w:rsid w:val="00E208CF"/>
    <w:rsid w:val="00E2668A"/>
    <w:rsid w:val="00E41DD5"/>
    <w:rsid w:val="00E466C0"/>
    <w:rsid w:val="00E5071B"/>
    <w:rsid w:val="00E52A6A"/>
    <w:rsid w:val="00E55B61"/>
    <w:rsid w:val="00E623E3"/>
    <w:rsid w:val="00E67B32"/>
    <w:rsid w:val="00E67E3E"/>
    <w:rsid w:val="00E728A2"/>
    <w:rsid w:val="00E72BDA"/>
    <w:rsid w:val="00EA7954"/>
    <w:rsid w:val="00EB02EE"/>
    <w:rsid w:val="00EB35D0"/>
    <w:rsid w:val="00EB5783"/>
    <w:rsid w:val="00EC0958"/>
    <w:rsid w:val="00EC1CB7"/>
    <w:rsid w:val="00ED6F0A"/>
    <w:rsid w:val="00EE1C4D"/>
    <w:rsid w:val="00EE6DCA"/>
    <w:rsid w:val="00EF1F0A"/>
    <w:rsid w:val="00F003D0"/>
    <w:rsid w:val="00F0315A"/>
    <w:rsid w:val="00F05DAA"/>
    <w:rsid w:val="00F13111"/>
    <w:rsid w:val="00F13BE1"/>
    <w:rsid w:val="00F1556E"/>
    <w:rsid w:val="00F17148"/>
    <w:rsid w:val="00F236E5"/>
    <w:rsid w:val="00F265D8"/>
    <w:rsid w:val="00F35273"/>
    <w:rsid w:val="00F417DB"/>
    <w:rsid w:val="00F41B3E"/>
    <w:rsid w:val="00F54715"/>
    <w:rsid w:val="00F6578E"/>
    <w:rsid w:val="00F7356C"/>
    <w:rsid w:val="00F84697"/>
    <w:rsid w:val="00F96A62"/>
    <w:rsid w:val="00FD65B9"/>
    <w:rsid w:val="00FE4BA7"/>
    <w:rsid w:val="00FE5DB4"/>
    <w:rsid w:val="00FF69EC"/>
    <w:rsid w:val="21ED001C"/>
    <w:rsid w:val="3A42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00" w:beforeLines="100" w:after="80" w:line="307" w:lineRule="auto"/>
      <w:ind w:firstLine="420" w:firstLineChars="20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40" w:beforeLines="0" w:after="160" w:line="578" w:lineRule="auto"/>
      <w:ind w:firstLine="0" w:firstLineChars="0"/>
      <w:jc w:val="center"/>
      <w:outlineLvl w:val="0"/>
    </w:pPr>
    <w:rPr>
      <w:rFonts w:ascii="黑体" w:hAnsi="黑体" w:eastAsia="黑体"/>
      <w:b/>
      <w:bCs/>
      <w:color w:val="000000"/>
      <w:kern w:val="44"/>
      <w:sz w:val="28"/>
      <w:szCs w:val="44"/>
    </w:rPr>
  </w:style>
  <w:style w:type="paragraph" w:styleId="3">
    <w:name w:val="heading 3"/>
    <w:basedOn w:val="1"/>
    <w:next w:val="1"/>
    <w:link w:val="29"/>
    <w:semiHidden/>
    <w:unhideWhenUsed/>
    <w:qFormat/>
    <w:uiPriority w:val="9"/>
    <w:pPr>
      <w:keepNext/>
      <w:keepLines/>
      <w:spacing w:before="100" w:after="60" w:line="416" w:lineRule="auto"/>
      <w:jc w:val="left"/>
      <w:outlineLvl w:val="2"/>
    </w:pPr>
    <w:rPr>
      <w:rFonts w:ascii="黑体" w:hAnsi="黑体" w:eastAsia="黑体"/>
      <w:b/>
      <w:bCs/>
      <w:color w:val="000000"/>
      <w:sz w:val="21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31"/>
    <w:semiHidden/>
    <w:unhideWhenUsed/>
    <w:uiPriority w:val="99"/>
    <w:pPr>
      <w:spacing w:after="120"/>
    </w:pPr>
  </w:style>
  <w:style w:type="paragraph" w:styleId="5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6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nhideWhenUsed/>
    <w:qFormat/>
    <w:uiPriority w:val="39"/>
    <w:pPr>
      <w:tabs>
        <w:tab w:val="right" w:leader="dot" w:pos="8296"/>
      </w:tabs>
      <w:spacing w:before="0" w:beforeLines="0" w:line="60" w:lineRule="auto"/>
      <w:ind w:firstLine="480"/>
    </w:pPr>
    <w:rPr>
      <w:rFonts w:cs="Times New Roman"/>
    </w:rPr>
  </w:style>
  <w:style w:type="paragraph" w:styleId="9">
    <w:name w:val="toc 2"/>
    <w:basedOn w:val="1"/>
    <w:next w:val="1"/>
    <w:autoRedefine/>
    <w:unhideWhenUsed/>
    <w:uiPriority w:val="39"/>
    <w:pPr>
      <w:tabs>
        <w:tab w:val="right" w:leader="dot" w:pos="8296"/>
      </w:tabs>
      <w:spacing w:before="0" w:beforeLines="0"/>
      <w:ind w:left="480" w:leftChars="200" w:firstLine="480"/>
      <w:jc w:val="left"/>
    </w:pPr>
  </w:style>
  <w:style w:type="paragraph" w:styleId="10">
    <w:name w:val="HTML Preformatted"/>
    <w:basedOn w:val="1"/>
    <w:link w:val="28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1">
    <w:name w:val="Title"/>
    <w:basedOn w:val="1"/>
    <w:next w:val="1"/>
    <w:link w:val="23"/>
    <w:qFormat/>
    <w:uiPriority w:val="10"/>
    <w:pPr>
      <w:keepNext/>
      <w:spacing w:before="0" w:after="320"/>
      <w:jc w:val="center"/>
      <w:outlineLvl w:val="0"/>
    </w:pPr>
    <w:rPr>
      <w:rFonts w:eastAsia="宋体" w:asciiTheme="majorHAnsi" w:hAnsiTheme="majorHAnsi" w:cstheme="majorBidi"/>
      <w:b/>
      <w:bCs/>
      <w:color w:val="000000"/>
      <w:sz w:val="44"/>
      <w:szCs w:val="32"/>
    </w:rPr>
  </w:style>
  <w:style w:type="table" w:styleId="13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Emphasis"/>
    <w:basedOn w:val="14"/>
    <w:qFormat/>
    <w:uiPriority w:val="20"/>
    <w:rPr>
      <w:i/>
      <w:iCs/>
    </w:rPr>
  </w:style>
  <w:style w:type="character" w:styleId="16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标题 1 字符"/>
    <w:basedOn w:val="14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8">
    <w:name w:val="落款"/>
    <w:basedOn w:val="1"/>
    <w:link w:val="19"/>
    <w:qFormat/>
    <w:uiPriority w:val="0"/>
    <w:pPr>
      <w:spacing w:before="0" w:beforeLines="0"/>
      <w:ind w:firstLine="0" w:firstLineChars="0"/>
      <w:jc w:val="right"/>
    </w:pPr>
  </w:style>
  <w:style w:type="character" w:customStyle="1" w:styleId="19">
    <w:name w:val="落款 字符"/>
    <w:basedOn w:val="14"/>
    <w:link w:val="18"/>
    <w:qFormat/>
    <w:uiPriority w:val="0"/>
    <w:rPr>
      <w:sz w:val="28"/>
    </w:rPr>
  </w:style>
  <w:style w:type="paragraph" w:customStyle="1" w:styleId="20">
    <w:name w:val="样式1"/>
    <w:basedOn w:val="1"/>
    <w:link w:val="21"/>
    <w:qFormat/>
    <w:uiPriority w:val="0"/>
    <w:pPr>
      <w:ind w:firstLine="0" w:firstLineChars="0"/>
      <w:jc w:val="left"/>
    </w:pPr>
  </w:style>
  <w:style w:type="character" w:customStyle="1" w:styleId="21">
    <w:name w:val="样式1 字符"/>
    <w:basedOn w:val="14"/>
    <w:link w:val="20"/>
    <w:qFormat/>
    <w:uiPriority w:val="0"/>
    <w:rPr>
      <w:sz w:val="28"/>
    </w:rPr>
  </w:style>
  <w:style w:type="paragraph" w:styleId="22">
    <w:name w:val="List Paragraph"/>
    <w:basedOn w:val="1"/>
    <w:qFormat/>
    <w:uiPriority w:val="34"/>
    <w:pPr>
      <w:spacing w:before="0" w:beforeLines="0"/>
      <w:ind w:firstLine="420"/>
    </w:pPr>
    <w:rPr>
      <w:rFonts w:ascii="Calibri" w:hAnsi="Calibri" w:cs="Times New Roman"/>
      <w:sz w:val="21"/>
      <w:szCs w:val="24"/>
    </w:rPr>
  </w:style>
  <w:style w:type="character" w:customStyle="1" w:styleId="23">
    <w:name w:val="标题 字符"/>
    <w:basedOn w:val="14"/>
    <w:link w:val="11"/>
    <w:qFormat/>
    <w:uiPriority w:val="10"/>
    <w:rPr>
      <w:rFonts w:eastAsia="宋体" w:asciiTheme="majorHAnsi" w:hAnsiTheme="majorHAnsi" w:cstheme="majorBidi"/>
      <w:b/>
      <w:bCs/>
      <w:sz w:val="28"/>
      <w:szCs w:val="32"/>
    </w:rPr>
  </w:style>
  <w:style w:type="character" w:styleId="24">
    <w:name w:val="Placeholder Text"/>
    <w:basedOn w:val="14"/>
    <w:semiHidden/>
    <w:qFormat/>
    <w:uiPriority w:val="99"/>
    <w:rPr>
      <w:color w:val="808080"/>
    </w:rPr>
  </w:style>
  <w:style w:type="character" w:customStyle="1" w:styleId="25">
    <w:name w:val="页眉 字符"/>
    <w:basedOn w:val="14"/>
    <w:link w:val="7"/>
    <w:qFormat/>
    <w:uiPriority w:val="99"/>
    <w:rPr>
      <w:rFonts w:eastAsia="宋体"/>
      <w:sz w:val="18"/>
      <w:szCs w:val="18"/>
    </w:rPr>
  </w:style>
  <w:style w:type="character" w:customStyle="1" w:styleId="26">
    <w:name w:val="页脚 字符"/>
    <w:basedOn w:val="14"/>
    <w:link w:val="6"/>
    <w:qFormat/>
    <w:uiPriority w:val="99"/>
    <w:rPr>
      <w:rFonts w:eastAsia="宋体"/>
      <w:sz w:val="18"/>
      <w:szCs w:val="18"/>
    </w:rPr>
  </w:style>
  <w:style w:type="paragraph" w:customStyle="1" w:styleId="27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8">
    <w:name w:val="HTML 预设格式 字符"/>
    <w:basedOn w:val="14"/>
    <w:link w:val="10"/>
    <w:semiHidden/>
    <w:qFormat/>
    <w:uiPriority w:val="99"/>
    <w:rPr>
      <w:rFonts w:ascii="Courier New" w:hAnsi="Courier New" w:eastAsia="宋体" w:cs="Courier New"/>
      <w:sz w:val="20"/>
      <w:szCs w:val="20"/>
    </w:rPr>
  </w:style>
  <w:style w:type="character" w:customStyle="1" w:styleId="29">
    <w:name w:val="标题 3 字符"/>
    <w:basedOn w:val="14"/>
    <w:link w:val="3"/>
    <w:semiHidden/>
    <w:uiPriority w:val="9"/>
    <w:rPr>
      <w:rFonts w:ascii="Times New Roman" w:hAnsi="Times New Roman" w:eastAsia="宋体"/>
      <w:b/>
      <w:bCs/>
      <w:sz w:val="32"/>
      <w:szCs w:val="32"/>
    </w:rPr>
  </w:style>
  <w:style w:type="paragraph" w:customStyle="1" w:styleId="30">
    <w:name w:val="First Paragraph"/>
    <w:basedOn w:val="4"/>
    <w:next w:val="4"/>
    <w:qFormat/>
    <w:uiPriority w:val="0"/>
    <w:pPr>
      <w:widowControl/>
      <w:spacing w:before="0" w:beforeLines="0" w:after="60" w:line="312" w:lineRule="auto"/>
      <w:ind w:firstLine="0" w:firstLineChars="0"/>
      <w:jc w:val="left"/>
    </w:pPr>
    <w:rPr>
      <w:rFonts w:cs="Times New Roman"/>
      <w:kern w:val="0"/>
      <w:sz w:val="21"/>
      <w:szCs w:val="21"/>
    </w:rPr>
  </w:style>
  <w:style w:type="character" w:customStyle="1" w:styleId="31">
    <w:name w:val="正文文本 字符"/>
    <w:basedOn w:val="14"/>
    <w:link w:val="4"/>
    <w:semiHidden/>
    <w:uiPriority w:val="99"/>
    <w:rPr>
      <w:rFonts w:ascii="Times New Roman" w:hAnsi="Times New Roman" w:eastAsia="宋体"/>
      <w:sz w:val="24"/>
    </w:rPr>
  </w:style>
  <w:style w:type="paragraph" w:customStyle="1" w:styleId="32">
    <w:name w:val="heading 2"/>
    <w:basedOn w:val="1"/>
    <w:uiPriority w:val="0"/>
    <w:pPr>
      <w:keepNext/>
      <w:spacing w:before="160" w:after="80"/>
      <w:jc w:val="left"/>
    </w:pPr>
    <w:rPr>
      <w:rFonts w:ascii="黑体" w:hAnsi="黑体" w:eastAsia="黑体"/>
      <w:b/>
      <w:color w:val="000000"/>
      <w:sz w:val="23"/>
    </w:rPr>
  </w:style>
  <w:style w:type="paragraph" w:customStyle="1" w:styleId="33">
    <w:name w:val="caption"/>
    <w:basedOn w:val="1"/>
    <w:uiPriority w:val="0"/>
    <w:pPr>
      <w:keepNext/>
      <w:spacing w:before="40" w:after="100"/>
      <w:jc w:val="center"/>
    </w:pPr>
    <w:rPr>
      <w:rFonts w:ascii="宋体" w:hAnsi="宋体" w:eastAsia="宋体"/>
      <w:color w:val="000000"/>
      <w:sz w:val="19"/>
    </w:rPr>
  </w:style>
  <w:style w:type="paragraph" w:customStyle="1" w:styleId="34">
    <w:name w:val="List Bullet"/>
    <w:basedOn w:val="1"/>
    <w:uiPriority w:val="0"/>
    <w:rPr>
      <w:rFonts w:eastAsia="宋体"/>
      <w:sz w:val="20"/>
    </w:rPr>
  </w:style>
  <w:style w:type="paragraph" w:customStyle="1" w:styleId="35">
    <w:name w:val="List Bullet 2"/>
    <w:basedOn w:val="34"/>
    <w:uiPriority w:val="0"/>
  </w:style>
  <w:style w:type="paragraph" w:customStyle="1" w:styleId="36">
    <w:name w:val="List Number"/>
    <w:basedOn w:val="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2091</Words>
  <Characters>2430</Characters>
  <Lines>2393</Lines>
  <Paragraphs>2302</Paragraphs>
  <TotalTime>0</TotalTime>
  <ScaleCrop>false</ScaleCrop>
  <LinksUpToDate>false</LinksUpToDate>
  <CharactersWithSpaces>2590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2026-09-18T09:28:00Z</dcterms:created>
  <dc:creator>佳坤</dc:creator>
  <cp:lastModifiedBy>宋元明</cp:lastModifiedBy>
  <cp:lastPrinted>2025-09-25T03:50:00Z</cp:lastPrinted>
  <dcterms:modified xsi:type="dcterms:W3CDTF">2026-10-09T09:12:39Z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D2C1D149791A43988A047331857A783F_13</vt:lpwstr>
  </property>
</Properties>
</file>