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9C487" w14:textId="77777777" w:rsidR="00C10CE4" w:rsidRPr="00023E4F" w:rsidRDefault="00000000" w:rsidP="00023E4F">
      <w:pPr>
        <w:spacing w:after="40" w:line="360" w:lineRule="auto"/>
        <w:jc w:val="center"/>
        <w:rPr>
          <w:rFonts w:ascii="Arial" w:hAnsi="Arial" w:cs="Arial"/>
        </w:rPr>
      </w:pPr>
      <w:proofErr w:type="spellStart"/>
      <w:r w:rsidRPr="00023E4F">
        <w:rPr>
          <w:rFonts w:ascii="Arial" w:hAnsi="Arial" w:cs="Arial"/>
          <w:b/>
          <w:bCs/>
          <w:sz w:val="32"/>
          <w:szCs w:val="32"/>
        </w:rPr>
        <w:t>NovaTech</w:t>
      </w:r>
      <w:proofErr w:type="spellEnd"/>
      <w:r w:rsidRPr="00023E4F">
        <w:rPr>
          <w:rFonts w:ascii="Arial" w:hAnsi="Arial" w:cs="Arial"/>
          <w:b/>
          <w:bCs/>
          <w:sz w:val="32"/>
          <w:szCs w:val="32"/>
        </w:rPr>
        <w:t xml:space="preserve"> Revenue Intelligence Dashboard</w:t>
      </w:r>
    </w:p>
    <w:p w14:paraId="4685492E" w14:textId="77777777" w:rsidR="00C10CE4" w:rsidRPr="00023E4F" w:rsidRDefault="00000000" w:rsidP="00023E4F">
      <w:pPr>
        <w:spacing w:after="20" w:line="360" w:lineRule="auto"/>
        <w:jc w:val="center"/>
        <w:rPr>
          <w:rFonts w:ascii="Arial" w:hAnsi="Arial" w:cs="Arial"/>
        </w:rPr>
      </w:pPr>
      <w:r w:rsidRPr="00023E4F">
        <w:rPr>
          <w:rFonts w:ascii="Arial" w:hAnsi="Arial" w:cs="Arial"/>
          <w:i/>
          <w:iCs/>
          <w:sz w:val="22"/>
          <w:szCs w:val="22"/>
        </w:rPr>
        <w:t>Prepared for: Sarah Chen, VP of Revenue Operations</w:t>
      </w:r>
    </w:p>
    <w:p w14:paraId="02555743" w14:textId="3753A69F" w:rsidR="00C10CE4" w:rsidRPr="00023E4F" w:rsidRDefault="00000000" w:rsidP="00023E4F">
      <w:pPr>
        <w:spacing w:after="240" w:line="360" w:lineRule="auto"/>
        <w:jc w:val="center"/>
        <w:rPr>
          <w:rFonts w:ascii="Arial" w:hAnsi="Arial" w:cs="Arial"/>
        </w:rPr>
      </w:pPr>
      <w:r w:rsidRPr="00023E4F">
        <w:rPr>
          <w:rFonts w:ascii="Arial" w:hAnsi="Arial" w:cs="Arial"/>
          <w:i/>
          <w:iCs/>
          <w:sz w:val="22"/>
          <w:szCs w:val="22"/>
        </w:rPr>
        <w:t xml:space="preserve">Prepared by: </w:t>
      </w:r>
      <w:r w:rsidR="00023E4F" w:rsidRPr="00023E4F">
        <w:rPr>
          <w:rFonts w:ascii="Arial" w:hAnsi="Arial" w:cs="Arial"/>
          <w:i/>
          <w:iCs/>
          <w:sz w:val="22"/>
          <w:szCs w:val="22"/>
        </w:rPr>
        <w:t>Naren M K</w:t>
      </w:r>
    </w:p>
    <w:p w14:paraId="1F0147E2" w14:textId="77777777" w:rsidR="00C10CE4" w:rsidRPr="00023E4F" w:rsidRDefault="00000000" w:rsidP="00023E4F">
      <w:pPr>
        <w:pStyle w:val="Heading1"/>
        <w:spacing w:before="240" w:after="120" w:line="360" w:lineRule="auto"/>
        <w:jc w:val="both"/>
        <w:rPr>
          <w:rFonts w:ascii="Arial" w:hAnsi="Arial" w:cs="Arial"/>
        </w:rPr>
      </w:pPr>
      <w:r w:rsidRPr="00023E4F">
        <w:rPr>
          <w:rFonts w:ascii="Arial" w:hAnsi="Arial" w:cs="Arial"/>
        </w:rPr>
        <w:t>1. Data Strategy</w:t>
      </w:r>
    </w:p>
    <w:p w14:paraId="0F2F78D5" w14:textId="77777777" w:rsidR="00C10CE4" w:rsidRPr="00023E4F" w:rsidRDefault="00000000" w:rsidP="00023E4F">
      <w:pPr>
        <w:spacing w:after="120" w:line="360" w:lineRule="auto"/>
        <w:jc w:val="both"/>
        <w:rPr>
          <w:rFonts w:ascii="Arial" w:hAnsi="Arial" w:cs="Arial"/>
        </w:rPr>
      </w:pPr>
      <w:proofErr w:type="spellStart"/>
      <w:r w:rsidRPr="00023E4F">
        <w:rPr>
          <w:rFonts w:ascii="Arial" w:hAnsi="Arial" w:cs="Arial"/>
        </w:rPr>
        <w:t>NovaTech's</w:t>
      </w:r>
      <w:proofErr w:type="spellEnd"/>
      <w:r w:rsidRPr="00023E4F">
        <w:rPr>
          <w:rFonts w:ascii="Arial" w:hAnsi="Arial" w:cs="Arial"/>
        </w:rPr>
        <w:t xml:space="preserve"> revenue picture was previously scattered across three disconnected systems: CRM deals, marketing campaigns, and support tickets. To give the Revenue Operations team a single source of truth, all three CSV exports were imported into Amazon Quick and published to SPICE, the platform's in-memory engine, so the dashboard would load quickly without hitting the source systems directly.</w:t>
      </w:r>
    </w:p>
    <w:p w14:paraId="2B3B31B0" w14:textId="77777777" w:rsidR="00C10CE4" w:rsidRPr="00023E4F" w:rsidRDefault="00000000" w:rsidP="00023E4F">
      <w:pPr>
        <w:spacing w:after="120" w:line="360" w:lineRule="auto"/>
        <w:jc w:val="both"/>
        <w:rPr>
          <w:rFonts w:ascii="Arial" w:hAnsi="Arial" w:cs="Arial"/>
        </w:rPr>
      </w:pPr>
      <w:r w:rsidRPr="00023E4F">
        <w:rPr>
          <w:rFonts w:ascii="Arial" w:hAnsi="Arial" w:cs="Arial"/>
        </w:rPr>
        <w:t>Before building anything, each dataset was verified against the data dictionary. This meant checking row counts, column counts, expected data types, and known data-quality issues for each of the three knowledge bases using natural-language questions in Quick Chat, then comparing Q's answers to the documented expectations. This verification pass surfaced a small number of formatting and type issues, which were corrected as part of data preparation (for example, converting date fields stored as text into proper Date types so they could be used in trend charts and days-to-close calculations).</w:t>
      </w:r>
    </w:p>
    <w:p w14:paraId="18EDEA28" w14:textId="77777777" w:rsidR="00C10CE4" w:rsidRPr="00023E4F" w:rsidRDefault="00000000" w:rsidP="00023E4F">
      <w:pPr>
        <w:spacing w:after="120" w:line="360" w:lineRule="auto"/>
        <w:jc w:val="both"/>
        <w:rPr>
          <w:rFonts w:ascii="Arial" w:hAnsi="Arial" w:cs="Arial"/>
        </w:rPr>
      </w:pPr>
      <w:r w:rsidRPr="00023E4F">
        <w:rPr>
          <w:rFonts w:ascii="Arial" w:hAnsi="Arial" w:cs="Arial"/>
        </w:rPr>
        <w:t>Two calculated fields were added to support business-relevant analysis rather than raw record counts: a Days-to-Close measure (</w:t>
      </w:r>
      <w:proofErr w:type="spellStart"/>
      <w:r w:rsidRPr="00023E4F">
        <w:rPr>
          <w:rFonts w:ascii="Arial" w:hAnsi="Arial" w:cs="Arial"/>
        </w:rPr>
        <w:t>deal_closed_date</w:t>
      </w:r>
      <w:proofErr w:type="spellEnd"/>
      <w:r w:rsidRPr="00023E4F">
        <w:rPr>
          <w:rFonts w:ascii="Arial" w:hAnsi="Arial" w:cs="Arial"/>
        </w:rPr>
        <w:t xml:space="preserve"> minus </w:t>
      </w:r>
      <w:proofErr w:type="spellStart"/>
      <w:r w:rsidRPr="00023E4F">
        <w:rPr>
          <w:rFonts w:ascii="Arial" w:hAnsi="Arial" w:cs="Arial"/>
        </w:rPr>
        <w:t>deal_created_date</w:t>
      </w:r>
      <w:proofErr w:type="spellEnd"/>
      <w:r w:rsidRPr="00023E4F">
        <w:rPr>
          <w:rFonts w:ascii="Arial" w:hAnsi="Arial" w:cs="Arial"/>
        </w:rPr>
        <w:t>) for the sales pipeline, and a Campaign ROI measure for marketing. These turned out to be central to two of the report's key findings, described in Section 4.</w:t>
      </w:r>
    </w:p>
    <w:p w14:paraId="7A3CC35D" w14:textId="77777777" w:rsidR="00C10CE4" w:rsidRPr="00023E4F" w:rsidRDefault="00000000" w:rsidP="00023E4F">
      <w:pPr>
        <w:spacing w:after="120" w:line="360" w:lineRule="auto"/>
        <w:jc w:val="both"/>
        <w:rPr>
          <w:rFonts w:ascii="Arial" w:hAnsi="Arial" w:cs="Arial"/>
        </w:rPr>
      </w:pPr>
      <w:r w:rsidRPr="00023E4F">
        <w:rPr>
          <w:rFonts w:ascii="Arial" w:hAnsi="Arial" w:cs="Arial"/>
        </w:rPr>
        <w:t>Finally, the three source datasets were joined into a single unified dataset, anchored on the CRM deals table, using a left join to marketing campaigns and support tickets on the shared account identifier. A left join was chosen deliberately: it preserves every deal record even when a matching marketing touchpoint or support ticket doesn't exist, which avoids silently dropping revenue data. All four datasets — the three sources plus the unified table — are saved to SPICE and refresh together.</w:t>
      </w:r>
    </w:p>
    <w:p w14:paraId="081FC7E4" w14:textId="77777777" w:rsidR="00C10CE4" w:rsidRPr="00023E4F" w:rsidRDefault="00000000" w:rsidP="00023E4F">
      <w:pPr>
        <w:pStyle w:val="Heading1"/>
        <w:spacing w:before="240" w:after="120" w:line="360" w:lineRule="auto"/>
        <w:jc w:val="both"/>
        <w:rPr>
          <w:rFonts w:ascii="Arial" w:hAnsi="Arial" w:cs="Arial"/>
        </w:rPr>
      </w:pPr>
      <w:r w:rsidRPr="00023E4F">
        <w:rPr>
          <w:rFonts w:ascii="Arial" w:hAnsi="Arial" w:cs="Arial"/>
        </w:rPr>
        <w:t>2. Dashboard Design Rationale</w:t>
      </w:r>
    </w:p>
    <w:p w14:paraId="4644281B" w14:textId="77777777" w:rsidR="00C10CE4" w:rsidRPr="00023E4F" w:rsidRDefault="00000000" w:rsidP="00023E4F">
      <w:pPr>
        <w:spacing w:after="120" w:line="360" w:lineRule="auto"/>
        <w:jc w:val="both"/>
        <w:rPr>
          <w:rFonts w:ascii="Arial" w:hAnsi="Arial" w:cs="Arial"/>
        </w:rPr>
      </w:pPr>
      <w:r w:rsidRPr="00023E4F">
        <w:rPr>
          <w:rFonts w:ascii="Arial" w:hAnsi="Arial" w:cs="Arial"/>
        </w:rPr>
        <w:t>The dashboard is organized into three sheets that mirror how the revenue team already thinks about the business, rather than how the data happens to be stored:</w:t>
      </w:r>
    </w:p>
    <w:p w14:paraId="3FC36914" w14:textId="77777777" w:rsidR="00C10CE4" w:rsidRPr="00023E4F" w:rsidRDefault="00000000" w:rsidP="00023E4F">
      <w:pPr>
        <w:pStyle w:val="ListParagraph"/>
        <w:numPr>
          <w:ilvl w:val="0"/>
          <w:numId w:val="1"/>
        </w:numPr>
        <w:spacing w:after="80" w:line="360" w:lineRule="auto"/>
        <w:jc w:val="both"/>
        <w:rPr>
          <w:rFonts w:ascii="Arial" w:hAnsi="Arial" w:cs="Arial"/>
        </w:rPr>
      </w:pPr>
      <w:r w:rsidRPr="00023E4F">
        <w:rPr>
          <w:rFonts w:ascii="Arial" w:hAnsi="Arial" w:cs="Arial"/>
        </w:rPr>
        <w:t xml:space="preserve">Marketing Funnel — built on the </w:t>
      </w:r>
      <w:proofErr w:type="spellStart"/>
      <w:r w:rsidRPr="00023E4F">
        <w:rPr>
          <w:rFonts w:ascii="Arial" w:hAnsi="Arial" w:cs="Arial"/>
        </w:rPr>
        <w:t>marketing_campaigns</w:t>
      </w:r>
      <w:proofErr w:type="spellEnd"/>
      <w:r w:rsidRPr="00023E4F">
        <w:rPr>
          <w:rFonts w:ascii="Arial" w:hAnsi="Arial" w:cs="Arial"/>
        </w:rPr>
        <w:t xml:space="preserve"> dataset directly (not the joined table), so spend and ROI figures reflect true campaign totals rather than numbers inflated by the join. It combines a spend KPI, a campaign ROI KPI, a funnel chart by lead stage, a channel breakdown, and a spend trend line.</w:t>
      </w:r>
    </w:p>
    <w:p w14:paraId="46A2F2DE" w14:textId="77777777" w:rsidR="00C10CE4" w:rsidRPr="00023E4F" w:rsidRDefault="00000000" w:rsidP="00023E4F">
      <w:pPr>
        <w:pStyle w:val="ListParagraph"/>
        <w:numPr>
          <w:ilvl w:val="0"/>
          <w:numId w:val="1"/>
        </w:numPr>
        <w:spacing w:after="80" w:line="360" w:lineRule="auto"/>
        <w:jc w:val="both"/>
        <w:rPr>
          <w:rFonts w:ascii="Arial" w:hAnsi="Arial" w:cs="Arial"/>
        </w:rPr>
      </w:pPr>
      <w:r w:rsidRPr="00023E4F">
        <w:rPr>
          <w:rFonts w:ascii="Arial" w:hAnsi="Arial" w:cs="Arial"/>
        </w:rPr>
        <w:t xml:space="preserve">Sales Pipeline — built on the </w:t>
      </w:r>
      <w:proofErr w:type="spellStart"/>
      <w:r w:rsidRPr="00023E4F">
        <w:rPr>
          <w:rFonts w:ascii="Arial" w:hAnsi="Arial" w:cs="Arial"/>
        </w:rPr>
        <w:t>crm_deals</w:t>
      </w:r>
      <w:proofErr w:type="spellEnd"/>
      <w:r w:rsidRPr="00023E4F">
        <w:rPr>
          <w:rFonts w:ascii="Arial" w:hAnsi="Arial" w:cs="Arial"/>
        </w:rPr>
        <w:t xml:space="preserve"> dataset directly, for the same reason. It surfaces total deal value, average days-to-close, a win/loss breakdown, a sales rep leaderboard, and a closed-deals trend line.</w:t>
      </w:r>
    </w:p>
    <w:p w14:paraId="744BF6E0" w14:textId="77777777" w:rsidR="00C10CE4" w:rsidRPr="00023E4F" w:rsidRDefault="00000000" w:rsidP="00023E4F">
      <w:pPr>
        <w:pStyle w:val="ListParagraph"/>
        <w:numPr>
          <w:ilvl w:val="0"/>
          <w:numId w:val="1"/>
        </w:numPr>
        <w:spacing w:after="80" w:line="360" w:lineRule="auto"/>
        <w:jc w:val="both"/>
        <w:rPr>
          <w:rFonts w:ascii="Arial" w:hAnsi="Arial" w:cs="Arial"/>
        </w:rPr>
      </w:pPr>
      <w:r w:rsidRPr="00023E4F">
        <w:rPr>
          <w:rFonts w:ascii="Arial" w:hAnsi="Arial" w:cs="Arial"/>
        </w:rPr>
        <w:t xml:space="preserve">Customer Health — built primarily on </w:t>
      </w:r>
      <w:proofErr w:type="spellStart"/>
      <w:r w:rsidRPr="00023E4F">
        <w:rPr>
          <w:rFonts w:ascii="Arial" w:hAnsi="Arial" w:cs="Arial"/>
        </w:rPr>
        <w:t>support_tickets</w:t>
      </w:r>
      <w:proofErr w:type="spellEnd"/>
      <w:r w:rsidRPr="00023E4F">
        <w:rPr>
          <w:rFonts w:ascii="Arial" w:hAnsi="Arial" w:cs="Arial"/>
        </w:rPr>
        <w:t xml:space="preserve">, but its key visual is drawn from the unified dataset: a table combining account ID, customer tier, total deal value, and ticket volume in one view. This is the one </w:t>
      </w:r>
      <w:r w:rsidRPr="00023E4F">
        <w:rPr>
          <w:rFonts w:ascii="Arial" w:hAnsi="Arial" w:cs="Arial"/>
        </w:rPr>
        <w:lastRenderedPageBreak/>
        <w:t>place on the dashboard where the three data domains are genuinely brought together, and it is the visual most directly relevant to spotting at-risk accounts.</w:t>
      </w:r>
    </w:p>
    <w:p w14:paraId="214AF37A" w14:textId="77777777" w:rsidR="00C10CE4" w:rsidRPr="00023E4F" w:rsidRDefault="00000000" w:rsidP="00023E4F">
      <w:pPr>
        <w:spacing w:after="120" w:line="360" w:lineRule="auto"/>
        <w:jc w:val="both"/>
        <w:rPr>
          <w:rFonts w:ascii="Arial" w:hAnsi="Arial" w:cs="Arial"/>
        </w:rPr>
      </w:pPr>
      <w:r w:rsidRPr="00023E4F">
        <w:rPr>
          <w:rFonts w:ascii="Arial" w:hAnsi="Arial" w:cs="Arial"/>
        </w:rPr>
        <w:t>Each sheet includes filter controls (for example, campaign channel, funnel stage, and customer segment) so the team can slice the data without needing a new report built for every question. One-click filtering was configured so that selecting a deal outcome on the Sales Pipeline sheet filters the sales rep leaderboard alongside it, and a cross-sheet navigation action lets a viewer jump from a pipeline KPI directly into the Customer Health sheet to investigate further — supporting the kind of follow-up question a reviewing executive is likely to ask in the moment.</w:t>
      </w:r>
    </w:p>
    <w:p w14:paraId="536B4BC9" w14:textId="77777777" w:rsidR="00C10CE4" w:rsidRPr="00023E4F" w:rsidRDefault="00000000" w:rsidP="00023E4F">
      <w:pPr>
        <w:pStyle w:val="Heading1"/>
        <w:spacing w:before="240" w:after="120" w:line="360" w:lineRule="auto"/>
        <w:jc w:val="both"/>
        <w:rPr>
          <w:rFonts w:ascii="Arial" w:hAnsi="Arial" w:cs="Arial"/>
        </w:rPr>
      </w:pPr>
      <w:r w:rsidRPr="00023E4F">
        <w:rPr>
          <w:rFonts w:ascii="Arial" w:hAnsi="Arial" w:cs="Arial"/>
        </w:rPr>
        <w:t>3. How Topic Configuration Affected Q Accuracy</w:t>
      </w:r>
    </w:p>
    <w:p w14:paraId="56474E43" w14:textId="77777777" w:rsidR="00C10CE4" w:rsidRPr="00023E4F" w:rsidRDefault="00000000" w:rsidP="00023E4F">
      <w:pPr>
        <w:spacing w:after="120" w:line="360" w:lineRule="auto"/>
        <w:jc w:val="both"/>
        <w:rPr>
          <w:rFonts w:ascii="Arial" w:hAnsi="Arial" w:cs="Arial"/>
        </w:rPr>
      </w:pPr>
      <w:r w:rsidRPr="00023E4F">
        <w:rPr>
          <w:rFonts w:ascii="Arial" w:hAnsi="Arial" w:cs="Arial"/>
        </w:rPr>
        <w:t>Before configuring a Topic, Quick Chat was asked three baseline questions with known answers: total campaign spend, number of deals won, and average ticket resolution time. All three answers matched the dashboard exactly, which suggests the underlying data was already clean enough for straightforward aggregate questions even without any AI configuration.</w:t>
      </w:r>
    </w:p>
    <w:p w14:paraId="08923DEE" w14:textId="77777777" w:rsidR="00C10CE4" w:rsidRPr="00023E4F" w:rsidRDefault="00000000" w:rsidP="00023E4F">
      <w:pPr>
        <w:spacing w:after="120" w:line="360" w:lineRule="auto"/>
        <w:jc w:val="both"/>
        <w:rPr>
          <w:rFonts w:ascii="Arial" w:hAnsi="Arial" w:cs="Arial"/>
        </w:rPr>
      </w:pPr>
      <w:r w:rsidRPr="00023E4F">
        <w:rPr>
          <w:rFonts w:ascii="Arial" w:hAnsi="Arial" w:cs="Arial"/>
        </w:rPr>
        <w:t>A Topic named “</w:t>
      </w:r>
      <w:proofErr w:type="spellStart"/>
      <w:r w:rsidRPr="00023E4F">
        <w:rPr>
          <w:rFonts w:ascii="Arial" w:hAnsi="Arial" w:cs="Arial"/>
        </w:rPr>
        <w:t>NovaTech</w:t>
      </w:r>
      <w:proofErr w:type="spellEnd"/>
      <w:r w:rsidRPr="00023E4F">
        <w:rPr>
          <w:rFonts w:ascii="Arial" w:hAnsi="Arial" w:cs="Arial"/>
        </w:rPr>
        <w:t xml:space="preserve"> Revenue Intelligence” was then created, scoped to all four datasets, so Q could reason across domains rather than being limited to whichever dataset happened to be open. The same three questions were re-asked after publishing the Topic. Two answers were unchanged and correct. The third, however, got worse: Q answered 66.76 days for average resolution time, which is actually the Days-to-Close figure from the Sales Pipeline sheet, not the 1.95-day resolution time shown on Customer Health. The likely cause is that “resolution time” and “days to close” are semantically close phrases, and without explicit synonyms or field descriptions distinguishing them, the Topic's broader dataset scope made it more likely — not less — to pull from the wrong table.</w:t>
      </w:r>
    </w:p>
    <w:p w14:paraId="6D5E81EA" w14:textId="77777777" w:rsidR="00C10CE4" w:rsidRPr="00023E4F" w:rsidRDefault="00000000" w:rsidP="00023E4F">
      <w:pPr>
        <w:spacing w:after="120" w:line="360" w:lineRule="auto"/>
        <w:jc w:val="both"/>
        <w:rPr>
          <w:rFonts w:ascii="Arial" w:hAnsi="Arial" w:cs="Arial"/>
        </w:rPr>
      </w:pPr>
      <w:r w:rsidRPr="00023E4F">
        <w:rPr>
          <w:rFonts w:ascii="Arial" w:hAnsi="Arial" w:cs="Arial"/>
        </w:rPr>
        <w:t xml:space="preserve">The practical takeaway is that Topic configuration does not uniformly improve accuracy; </w:t>
      </w:r>
      <w:proofErr w:type="gramStart"/>
      <w:r w:rsidRPr="00023E4F">
        <w:rPr>
          <w:rFonts w:ascii="Arial" w:hAnsi="Arial" w:cs="Arial"/>
        </w:rPr>
        <w:t>it</w:t>
      </w:r>
      <w:proofErr w:type="gramEnd"/>
      <w:r w:rsidRPr="00023E4F">
        <w:rPr>
          <w:rFonts w:ascii="Arial" w:hAnsi="Arial" w:cs="Arial"/>
        </w:rPr>
        <w:t xml:space="preserve"> re-weights which fields Q considers, and can introduce new ambiguity between similarly-named metrics across datasets it wouldn't previously have compared. Adding field-level synonyms and descriptions (for example, explicitly </w:t>
      </w:r>
      <w:proofErr w:type="spellStart"/>
      <w:r w:rsidRPr="00023E4F">
        <w:rPr>
          <w:rFonts w:ascii="Arial" w:hAnsi="Arial" w:cs="Arial"/>
        </w:rPr>
        <w:t>labeling</w:t>
      </w:r>
      <w:proofErr w:type="spellEnd"/>
      <w:r w:rsidRPr="00023E4F">
        <w:rPr>
          <w:rFonts w:ascii="Arial" w:hAnsi="Arial" w:cs="Arial"/>
        </w:rPr>
        <w:t xml:space="preserve"> ticket resolution time as distinct from deal days-to-close) is a low-effort next step recommended for whoever maintains this Topic going forward.</w:t>
      </w:r>
    </w:p>
    <w:p w14:paraId="5DAADF86" w14:textId="77777777" w:rsidR="00C10CE4" w:rsidRPr="00023E4F" w:rsidRDefault="00000000" w:rsidP="00023E4F">
      <w:pPr>
        <w:pStyle w:val="Heading1"/>
        <w:spacing w:before="240" w:after="120" w:line="360" w:lineRule="auto"/>
        <w:jc w:val="both"/>
        <w:rPr>
          <w:rFonts w:ascii="Arial" w:hAnsi="Arial" w:cs="Arial"/>
        </w:rPr>
      </w:pPr>
      <w:r w:rsidRPr="00023E4F">
        <w:rPr>
          <w:rFonts w:ascii="Arial" w:hAnsi="Arial" w:cs="Arial"/>
        </w:rPr>
        <w:t>4. Key Insights and Recommended Actions</w:t>
      </w:r>
    </w:p>
    <w:p w14:paraId="7F4DF8B5" w14:textId="77777777" w:rsidR="00C10CE4" w:rsidRPr="00023E4F" w:rsidRDefault="00000000" w:rsidP="00023E4F">
      <w:pPr>
        <w:pStyle w:val="Heading2"/>
        <w:spacing w:before="200" w:after="100" w:line="360" w:lineRule="auto"/>
        <w:jc w:val="both"/>
        <w:rPr>
          <w:rFonts w:ascii="Arial" w:hAnsi="Arial" w:cs="Arial"/>
        </w:rPr>
      </w:pPr>
      <w:r w:rsidRPr="00023E4F">
        <w:rPr>
          <w:rFonts w:ascii="Arial" w:hAnsi="Arial" w:cs="Arial"/>
        </w:rPr>
        <w:t>4.1 Partner Referral spend is largely unprofitable</w:t>
      </w:r>
    </w:p>
    <w:p w14:paraId="6D4B4092" w14:textId="77777777" w:rsidR="00C10CE4" w:rsidRDefault="00000000" w:rsidP="00023E4F">
      <w:pPr>
        <w:spacing w:after="120" w:line="360" w:lineRule="auto"/>
        <w:jc w:val="both"/>
        <w:rPr>
          <w:rFonts w:ascii="Arial" w:hAnsi="Arial" w:cs="Arial"/>
        </w:rPr>
      </w:pPr>
      <w:r w:rsidRPr="00023E4F">
        <w:rPr>
          <w:rFonts w:ascii="Arial" w:hAnsi="Arial" w:cs="Arial"/>
        </w:rPr>
        <w:t>A dedicated question to Quick Chat found 2,207 campaign records where spend exceeded attributed revenue, heavily concentrated in the Partner Referral channel — the same channel that accounts for $7.27M of the $12.36M in total campaign spend, by far the largest share. This directly explains the dashboard's -0.9 average Campaign ROI figure: it is not a data or calculation error, but a real and widespread pattern. Recommendation: pause or significantly reduce Partner Referral spend pending a review of individual partner terms, prioritizing the small number of highest-loss campaigns identified in the Q Exploration Log.</w:t>
      </w:r>
    </w:p>
    <w:p w14:paraId="5610EF51" w14:textId="77777777" w:rsidR="00023E4F" w:rsidRPr="00023E4F" w:rsidRDefault="00023E4F" w:rsidP="00023E4F">
      <w:pPr>
        <w:spacing w:after="120" w:line="360" w:lineRule="auto"/>
        <w:jc w:val="both"/>
        <w:rPr>
          <w:rFonts w:ascii="Arial" w:hAnsi="Arial" w:cs="Arial"/>
        </w:rPr>
      </w:pPr>
    </w:p>
    <w:p w14:paraId="7AF914F3" w14:textId="77777777" w:rsidR="00C10CE4" w:rsidRPr="00023E4F" w:rsidRDefault="00000000" w:rsidP="00023E4F">
      <w:pPr>
        <w:pStyle w:val="Heading2"/>
        <w:spacing w:before="200" w:after="100" w:line="360" w:lineRule="auto"/>
        <w:jc w:val="both"/>
        <w:rPr>
          <w:rFonts w:ascii="Arial" w:hAnsi="Arial" w:cs="Arial"/>
        </w:rPr>
      </w:pPr>
      <w:r w:rsidRPr="00023E4F">
        <w:rPr>
          <w:rFonts w:ascii="Arial" w:hAnsi="Arial" w:cs="Arial"/>
        </w:rPr>
        <w:lastRenderedPageBreak/>
        <w:t>4.2 Loss tracking on the sales pipeline has a data gap</w:t>
      </w:r>
    </w:p>
    <w:p w14:paraId="40A5AE7B" w14:textId="77777777" w:rsidR="00C10CE4" w:rsidRPr="00023E4F" w:rsidRDefault="00000000" w:rsidP="00023E4F">
      <w:pPr>
        <w:spacing w:after="120" w:line="360" w:lineRule="auto"/>
        <w:jc w:val="both"/>
        <w:rPr>
          <w:rFonts w:ascii="Arial" w:hAnsi="Arial" w:cs="Arial"/>
        </w:rPr>
      </w:pPr>
      <w:r w:rsidRPr="00023E4F">
        <w:rPr>
          <w:rFonts w:ascii="Arial" w:hAnsi="Arial" w:cs="Arial"/>
        </w:rPr>
        <w:t xml:space="preserve">Every deal marked “Lost” in the CRM shows a </w:t>
      </w:r>
      <w:proofErr w:type="spellStart"/>
      <w:r w:rsidRPr="00023E4F">
        <w:rPr>
          <w:rFonts w:ascii="Arial" w:hAnsi="Arial" w:cs="Arial"/>
        </w:rPr>
        <w:t>deal_value</w:t>
      </w:r>
      <w:proofErr w:type="spellEnd"/>
      <w:r w:rsidRPr="00023E4F">
        <w:rPr>
          <w:rFonts w:ascii="Arial" w:hAnsi="Arial" w:cs="Arial"/>
        </w:rPr>
        <w:t xml:space="preserve"> of zero, while every dollar of tracked pipeline value sits under “Won.” This makes it impossible to calculate a true win rate by value, or to understand how much revenue is being lost to competitors versus abandoned deals. Recommendation: require </w:t>
      </w:r>
      <w:proofErr w:type="spellStart"/>
      <w:r w:rsidRPr="00023E4F">
        <w:rPr>
          <w:rFonts w:ascii="Arial" w:hAnsi="Arial" w:cs="Arial"/>
        </w:rPr>
        <w:t>deal_value</w:t>
      </w:r>
      <w:proofErr w:type="spellEnd"/>
      <w:r w:rsidRPr="00023E4F">
        <w:rPr>
          <w:rFonts w:ascii="Arial" w:hAnsi="Arial" w:cs="Arial"/>
        </w:rPr>
        <w:t xml:space="preserve"> to be populated at the time a deal is marked Lost, not only at close-won, so future win/loss analysis reflects the full size of the pipeline.</w:t>
      </w:r>
    </w:p>
    <w:p w14:paraId="2F23766F" w14:textId="77777777" w:rsidR="00C10CE4" w:rsidRPr="00023E4F" w:rsidRDefault="00000000" w:rsidP="00023E4F">
      <w:pPr>
        <w:pStyle w:val="Heading2"/>
        <w:spacing w:before="200" w:after="100" w:line="360" w:lineRule="auto"/>
        <w:jc w:val="both"/>
        <w:rPr>
          <w:rFonts w:ascii="Arial" w:hAnsi="Arial" w:cs="Arial"/>
        </w:rPr>
      </w:pPr>
      <w:r w:rsidRPr="00023E4F">
        <w:rPr>
          <w:rFonts w:ascii="Arial" w:hAnsi="Arial" w:cs="Arial"/>
        </w:rPr>
        <w:t>4.3 Escalation protocols for critical tickets are working</w:t>
      </w:r>
    </w:p>
    <w:p w14:paraId="7E833A51" w14:textId="77777777" w:rsidR="00C10CE4" w:rsidRPr="00023E4F" w:rsidRDefault="00000000" w:rsidP="00023E4F">
      <w:pPr>
        <w:spacing w:after="120" w:line="360" w:lineRule="auto"/>
        <w:jc w:val="both"/>
        <w:rPr>
          <w:rFonts w:ascii="Arial" w:hAnsi="Arial" w:cs="Arial"/>
        </w:rPr>
      </w:pPr>
      <w:r w:rsidRPr="00023E4F">
        <w:rPr>
          <w:rFonts w:ascii="Arial" w:hAnsi="Arial" w:cs="Arial"/>
        </w:rPr>
        <w:t>Critical-priority tickets resolve in an average of 1.79 days versus 1.97 days for low-priority tickets — a modest but real gap that supports the intended effect of prioritizing critical issues. This is a positive finding worth preserving: Recommendation: maintain current escalation rules, and monitor this gap quarterly as ticket volume grows, since it could narrow if critical volume increases faster than support capacity.</w:t>
      </w:r>
    </w:p>
    <w:p w14:paraId="0B6125E6" w14:textId="77777777" w:rsidR="00C10CE4" w:rsidRPr="00023E4F" w:rsidRDefault="00000000" w:rsidP="00023E4F">
      <w:pPr>
        <w:pStyle w:val="Heading2"/>
        <w:spacing w:before="200" w:after="100" w:line="360" w:lineRule="auto"/>
        <w:jc w:val="both"/>
        <w:rPr>
          <w:rFonts w:ascii="Arial" w:hAnsi="Arial" w:cs="Arial"/>
        </w:rPr>
      </w:pPr>
      <w:r w:rsidRPr="00023E4F">
        <w:rPr>
          <w:rFonts w:ascii="Arial" w:hAnsi="Arial" w:cs="Arial"/>
        </w:rPr>
        <w:t>4.4 A small number of accounts drive disproportionate support load</w:t>
      </w:r>
    </w:p>
    <w:p w14:paraId="28F78E65" w14:textId="77777777" w:rsidR="00C10CE4" w:rsidRPr="00023E4F" w:rsidRDefault="00000000" w:rsidP="00023E4F">
      <w:pPr>
        <w:spacing w:after="120" w:line="360" w:lineRule="auto"/>
        <w:jc w:val="both"/>
        <w:rPr>
          <w:rFonts w:ascii="Arial" w:hAnsi="Arial" w:cs="Arial"/>
        </w:rPr>
      </w:pPr>
      <w:r w:rsidRPr="00023E4F">
        <w:rPr>
          <w:rFonts w:ascii="Arial" w:hAnsi="Arial" w:cs="Arial"/>
        </w:rPr>
        <w:t>One account, ACCT-041, generated 334 support tickets — nearly double the next-highest account — while still contributing meaningfully to deal revenue. Recommendation: flag high-ticket, high-value accounts like this one for a dedicated account health review, since they represent both retention risk and a disproportionate support cost per dollar of revenue.</w:t>
      </w:r>
    </w:p>
    <w:p w14:paraId="3C1E881E" w14:textId="77777777" w:rsidR="00C10CE4" w:rsidRPr="00023E4F" w:rsidRDefault="00000000" w:rsidP="00023E4F">
      <w:pPr>
        <w:pStyle w:val="Heading1"/>
        <w:spacing w:before="240" w:after="120" w:line="360" w:lineRule="auto"/>
        <w:jc w:val="both"/>
        <w:rPr>
          <w:rFonts w:ascii="Arial" w:hAnsi="Arial" w:cs="Arial"/>
        </w:rPr>
      </w:pPr>
      <w:r w:rsidRPr="00023E4F">
        <w:rPr>
          <w:rFonts w:ascii="Arial" w:hAnsi="Arial" w:cs="Arial"/>
        </w:rPr>
        <w:t>5. Where AI Analysis Agreed or Disagreed with the Dashboard</w:t>
      </w:r>
    </w:p>
    <w:p w14:paraId="7A58AF0D" w14:textId="77777777" w:rsidR="00C10CE4" w:rsidRPr="00023E4F" w:rsidRDefault="00000000" w:rsidP="00023E4F">
      <w:pPr>
        <w:spacing w:after="120" w:line="360" w:lineRule="auto"/>
        <w:jc w:val="both"/>
        <w:rPr>
          <w:rFonts w:ascii="Arial" w:hAnsi="Arial" w:cs="Arial"/>
        </w:rPr>
      </w:pPr>
      <w:r w:rsidRPr="00023E4F">
        <w:rPr>
          <w:rFonts w:ascii="Arial" w:hAnsi="Arial" w:cs="Arial"/>
        </w:rPr>
        <w:t>Quick Chat agreed closely with the dashboard on simple, single-dataset aggregate questions: total campaign spend, spend by channel, and the top sales rep by deal value all matched published figures exactly or within rounding. It also correctly explained the dashboard's -0.9 Campaign ROI KPI by surfacing the specific loss-making campaigns behind it, which added useful detail the dashboard alone did not surface directly.</w:t>
      </w:r>
    </w:p>
    <w:p w14:paraId="374082DB" w14:textId="77777777" w:rsidR="00C10CE4" w:rsidRPr="00023E4F" w:rsidRDefault="00000000" w:rsidP="00023E4F">
      <w:pPr>
        <w:spacing w:after="120" w:line="360" w:lineRule="auto"/>
        <w:jc w:val="both"/>
        <w:rPr>
          <w:rFonts w:ascii="Arial" w:hAnsi="Arial" w:cs="Arial"/>
        </w:rPr>
      </w:pPr>
      <w:r w:rsidRPr="00023E4F">
        <w:rPr>
          <w:rFonts w:ascii="Arial" w:hAnsi="Arial" w:cs="Arial"/>
        </w:rPr>
        <w:t>It disagreed with the dashboard in two notable places. First, once the Topic was configured, it confused ticket resolution time with deal days-to-close, discussed in Section 3. Second, on a cross-dataset question about ticket volume and revenue for account ACCT-020, Q reported 109 tickets and $6,006 in revenue, while the dashboard's unified table shows 356 tickets and $222,222 in deal value for the same account — a substantial mismatch likely caused by Q referencing a different underlying field (for instance, a recent or filtered ticket count rather than an all-time count, or a different revenue field than the one used on the dashboard). The sales rep ranking also surfaced two names, Liam Chen and Sofia Reyes, that do not appear in the dashboard's own rep list at all, suggesting Q may be drawing on a broader or slightly different data scope than what is published.</w:t>
      </w:r>
    </w:p>
    <w:p w14:paraId="40E8CC39" w14:textId="77777777" w:rsidR="00C10CE4" w:rsidRPr="00023E4F" w:rsidRDefault="00000000" w:rsidP="00023E4F">
      <w:pPr>
        <w:spacing w:after="120" w:line="360" w:lineRule="auto"/>
        <w:jc w:val="both"/>
        <w:rPr>
          <w:rFonts w:ascii="Arial" w:hAnsi="Arial" w:cs="Arial"/>
        </w:rPr>
      </w:pPr>
      <w:r w:rsidRPr="00023E4F">
        <w:rPr>
          <w:rFonts w:ascii="Arial" w:hAnsi="Arial" w:cs="Arial"/>
        </w:rPr>
        <w:t>Given this, Quick Chat is well suited to fast, exploratory questions during a meeting or a first pass at a new question, but any figure that will inform a decision or be shared outside the immediate conversation should be verified against the published dashboard before being treated as final. Tightening the Topic's field descriptions and synonyms, particularly for similarly-named time and revenue fields, is the most direct way to close this gap.</w:t>
      </w:r>
    </w:p>
    <w:p w14:paraId="26BBFCB3" w14:textId="62B9E29F" w:rsidR="00C10CE4" w:rsidRPr="00023E4F" w:rsidRDefault="00C10CE4" w:rsidP="00023E4F">
      <w:pPr>
        <w:spacing w:after="120" w:line="360" w:lineRule="auto"/>
        <w:jc w:val="both"/>
        <w:rPr>
          <w:rFonts w:ascii="Arial" w:hAnsi="Arial" w:cs="Arial"/>
        </w:rPr>
      </w:pPr>
    </w:p>
    <w:sectPr w:rsidR="00C10CE4" w:rsidRPr="00023E4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350149"/>
    <w:multiLevelType w:val="hybridMultilevel"/>
    <w:tmpl w:val="F678DDE2"/>
    <w:lvl w:ilvl="0" w:tplc="A60EE712">
      <w:start w:val="1"/>
      <w:numFmt w:val="bullet"/>
      <w:lvlText w:val="●"/>
      <w:lvlJc w:val="left"/>
      <w:pPr>
        <w:ind w:left="720" w:hanging="360"/>
      </w:pPr>
    </w:lvl>
    <w:lvl w:ilvl="1" w:tplc="36F81C2A">
      <w:start w:val="1"/>
      <w:numFmt w:val="bullet"/>
      <w:lvlText w:val="○"/>
      <w:lvlJc w:val="left"/>
      <w:pPr>
        <w:ind w:left="1440" w:hanging="360"/>
      </w:pPr>
    </w:lvl>
    <w:lvl w:ilvl="2" w:tplc="FAC62386">
      <w:start w:val="1"/>
      <w:numFmt w:val="bullet"/>
      <w:lvlText w:val="■"/>
      <w:lvlJc w:val="left"/>
      <w:pPr>
        <w:ind w:left="2160" w:hanging="360"/>
      </w:pPr>
    </w:lvl>
    <w:lvl w:ilvl="3" w:tplc="1C08C288">
      <w:start w:val="1"/>
      <w:numFmt w:val="bullet"/>
      <w:lvlText w:val="●"/>
      <w:lvlJc w:val="left"/>
      <w:pPr>
        <w:ind w:left="2880" w:hanging="360"/>
      </w:pPr>
    </w:lvl>
    <w:lvl w:ilvl="4" w:tplc="5DCCD604">
      <w:start w:val="1"/>
      <w:numFmt w:val="bullet"/>
      <w:lvlText w:val="○"/>
      <w:lvlJc w:val="left"/>
      <w:pPr>
        <w:ind w:left="3600" w:hanging="360"/>
      </w:pPr>
    </w:lvl>
    <w:lvl w:ilvl="5" w:tplc="EB329CA0">
      <w:start w:val="1"/>
      <w:numFmt w:val="bullet"/>
      <w:lvlText w:val="■"/>
      <w:lvlJc w:val="left"/>
      <w:pPr>
        <w:ind w:left="4320" w:hanging="360"/>
      </w:pPr>
    </w:lvl>
    <w:lvl w:ilvl="6" w:tplc="286E4958">
      <w:start w:val="1"/>
      <w:numFmt w:val="bullet"/>
      <w:lvlText w:val="●"/>
      <w:lvlJc w:val="left"/>
      <w:pPr>
        <w:ind w:left="5040" w:hanging="360"/>
      </w:pPr>
    </w:lvl>
    <w:lvl w:ilvl="7" w:tplc="441E8A96">
      <w:start w:val="1"/>
      <w:numFmt w:val="bullet"/>
      <w:lvlText w:val="●"/>
      <w:lvlJc w:val="left"/>
      <w:pPr>
        <w:ind w:left="5760" w:hanging="360"/>
      </w:pPr>
    </w:lvl>
    <w:lvl w:ilvl="8" w:tplc="1C729F9C">
      <w:start w:val="1"/>
      <w:numFmt w:val="bullet"/>
      <w:lvlText w:val="●"/>
      <w:lvlJc w:val="left"/>
      <w:pPr>
        <w:ind w:left="6480" w:hanging="360"/>
      </w:pPr>
    </w:lvl>
  </w:abstractNum>
  <w:num w:numId="1" w16cid:durableId="6565411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CE4"/>
    <w:rsid w:val="00023E4F"/>
    <w:rsid w:val="00311612"/>
    <w:rsid w:val="003A0C31"/>
    <w:rsid w:val="0098646E"/>
    <w:rsid w:val="00C10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97D80"/>
  <w15:docId w15:val="{368B437F-CDBC-4F18-A7DD-3E4F79D4E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1373</Words>
  <Characters>7830</Characters>
  <Application>Microsoft Office Word</Application>
  <DocSecurity>0</DocSecurity>
  <Lines>65</Lines>
  <Paragraphs>18</Paragraphs>
  <ScaleCrop>false</ScaleCrop>
  <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Naren M K</cp:lastModifiedBy>
  <cp:revision>3</cp:revision>
  <dcterms:created xsi:type="dcterms:W3CDTF">2026-09-12T09:33:00Z</dcterms:created>
  <dcterms:modified xsi:type="dcterms:W3CDTF">2026-09-13T14:07:00Z</dcterms:modified>
</cp:coreProperties>
</file>