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D81C6" w14:textId="77777777" w:rsidR="00C6778A" w:rsidRDefault="00000000">
      <w:pPr>
        <w:spacing w:after="40"/>
      </w:pPr>
      <w:r>
        <w:rPr>
          <w:b/>
          <w:bCs/>
          <w:sz w:val="32"/>
          <w:szCs w:val="32"/>
        </w:rPr>
        <w:t>Dashboard Executive Summary</w:t>
      </w:r>
    </w:p>
    <w:p w14:paraId="55F85A00" w14:textId="77777777" w:rsidR="00C6778A" w:rsidRDefault="00000000">
      <w:pPr>
        <w:spacing w:after="240"/>
      </w:pPr>
      <w:r>
        <w:rPr>
          <w:i/>
          <w:iCs/>
          <w:sz w:val="22"/>
          <w:szCs w:val="22"/>
        </w:rPr>
        <w:t>NovaTech Revenue Intelligence Dashboard</w:t>
      </w:r>
    </w:p>
    <w:p w14:paraId="33A1A05F" w14:textId="7BE0C1EA" w:rsidR="00C6778A" w:rsidRDefault="004E4AB6">
      <w:pPr>
        <w:pStyle w:val="Heading1"/>
        <w:spacing w:before="240" w:after="120"/>
      </w:pPr>
      <w:r w:rsidRPr="003C5F5B">
        <w:t>Customer Health</w:t>
      </w:r>
    </w:p>
    <w:p w14:paraId="6C927DEB" w14:textId="0D6ABA9C" w:rsidR="004E4AB6" w:rsidRPr="003C5F5B" w:rsidRDefault="004E4AB6" w:rsidP="004E4AB6"/>
    <w:p w14:paraId="4AF5A06C" w14:textId="77777777" w:rsidR="004E4AB6" w:rsidRPr="003C5F5B" w:rsidRDefault="004E4AB6" w:rsidP="004E4AB6">
      <w:r w:rsidRPr="003C5F5B">
        <w:t>The sheet provides an overview of support ticket activity and deal values across companies, analyzing 2,792 unique tickets by priority level and comparing ticket volume with deal counts across 85 companies.</w:t>
      </w:r>
    </w:p>
    <w:p w14:paraId="4C183968" w14:textId="77777777" w:rsidR="004E4AB6" w:rsidRPr="003C5F5B" w:rsidRDefault="004E4AB6" w:rsidP="004E4AB6">
      <w:pPr>
        <w:numPr>
          <w:ilvl w:val="0"/>
          <w:numId w:val="2"/>
        </w:numPr>
        <w:spacing w:after="200" w:line="276" w:lineRule="auto"/>
      </w:pPr>
      <w:r w:rsidRPr="003C5F5B">
        <w:t>Low priority tickets dominate at 1,411, accounting for roughly half of all 2,792 unique tickets.</w:t>
      </w:r>
    </w:p>
    <w:p w14:paraId="585F3361" w14:textId="77777777" w:rsidR="004E4AB6" w:rsidRPr="003C5F5B" w:rsidRDefault="004E4AB6" w:rsidP="004E4AB6">
      <w:pPr>
        <w:numPr>
          <w:ilvl w:val="0"/>
          <w:numId w:val="2"/>
        </w:numPr>
        <w:spacing w:after="200" w:line="276" w:lineRule="auto"/>
      </w:pPr>
      <w:r w:rsidRPr="003C5F5B">
        <w:t>High priority tickets represent the smallest segment at only 368, far behind medium (971) and low priority.</w:t>
      </w:r>
    </w:p>
    <w:p w14:paraId="5742FFF5" w14:textId="77777777" w:rsidR="004E4AB6" w:rsidRPr="003C5F5B" w:rsidRDefault="004E4AB6" w:rsidP="004E4AB6">
      <w:pPr>
        <w:numPr>
          <w:ilvl w:val="0"/>
          <w:numId w:val="2"/>
        </w:numPr>
        <w:spacing w:after="200" w:line="276" w:lineRule="auto"/>
      </w:pPr>
      <w:r w:rsidRPr="003C5F5B">
        <w:t>YieldMax Software and LionGate Holdings lead in both Tickets_last_30_days and Deal_value count, while FreshStart Medical tops deal count at 8,280.</w:t>
      </w:r>
    </w:p>
    <w:p w14:paraId="40622D2D" w14:textId="77777777" w:rsidR="004E4AB6" w:rsidRPr="003C5F5B" w:rsidRDefault="004E4AB6" w:rsidP="004E4AB6">
      <w:pPr>
        <w:numPr>
          <w:ilvl w:val="0"/>
          <w:numId w:val="2"/>
        </w:numPr>
        <w:spacing w:after="200" w:line="276" w:lineRule="auto"/>
      </w:pPr>
      <w:r w:rsidRPr="003C5F5B">
        <w:t>CoralBay Pharma and ForestGlen Medical rank lowest in tickets and deals respectively, highlighting significant disparity across companies.</w:t>
      </w:r>
    </w:p>
    <w:p w14:paraId="3B0DC9F4" w14:textId="4B611888" w:rsidR="004E4AB6" w:rsidRDefault="004E4AB6" w:rsidP="004E4AB6">
      <w:pPr>
        <w:pStyle w:val="Heading1"/>
        <w:spacing w:before="240" w:after="120"/>
      </w:pPr>
      <w:r>
        <w:t>Marketing Funnel</w:t>
      </w:r>
    </w:p>
    <w:p w14:paraId="116BE2A7" w14:textId="76FF4BD9" w:rsidR="004E4AB6" w:rsidRPr="003C5F5B" w:rsidRDefault="004E4AB6" w:rsidP="004E4AB6"/>
    <w:p w14:paraId="72E2E932" w14:textId="77777777" w:rsidR="004E4AB6" w:rsidRPr="003C5F5B" w:rsidRDefault="004E4AB6" w:rsidP="004E4AB6">
      <w:r w:rsidRPr="003C5F5B">
        <w:t>The sheet provides an overview of lead generation performance and marketing spend efficiency across channels and funnel stages, tracking 63,420 total leads against a campaign spend of 353,510,938.8.</w:t>
      </w:r>
    </w:p>
    <w:p w14:paraId="06191CC7" w14:textId="77777777" w:rsidR="004E4AB6" w:rsidRPr="003C5F5B" w:rsidRDefault="004E4AB6" w:rsidP="004E4AB6">
      <w:pPr>
        <w:numPr>
          <w:ilvl w:val="0"/>
          <w:numId w:val="3"/>
        </w:numPr>
        <w:spacing w:after="200" w:line="276" w:lineRule="auto"/>
      </w:pPr>
      <w:r w:rsidRPr="003C5F5B">
        <w:t>The majority of leads are concentrated in early funnel stages, with Qualified Lead (21,330) and Lead (18,918) representing over 63% of all leads.</w:t>
      </w:r>
    </w:p>
    <w:p w14:paraId="0C71AA48" w14:textId="77777777" w:rsidR="004E4AB6" w:rsidRPr="003C5F5B" w:rsidRDefault="004E4AB6" w:rsidP="004E4AB6">
      <w:pPr>
        <w:numPr>
          <w:ilvl w:val="0"/>
          <w:numId w:val="3"/>
        </w:numPr>
        <w:spacing w:after="200" w:line="276" w:lineRule="auto"/>
      </w:pPr>
      <w:r w:rsidRPr="003C5F5B">
        <w:t>Partner Referral dominates both spend (180,542,597.21) and revenue (13,745,687.69), making it the highest-performing channel.</w:t>
      </w:r>
    </w:p>
    <w:p w14:paraId="7F9E312B" w14:textId="77777777" w:rsidR="004E4AB6" w:rsidRPr="003C5F5B" w:rsidRDefault="004E4AB6" w:rsidP="004E4AB6">
      <w:pPr>
        <w:numPr>
          <w:ilvl w:val="0"/>
          <w:numId w:val="3"/>
        </w:numPr>
        <w:spacing w:after="200" w:line="276" w:lineRule="auto"/>
      </w:pPr>
      <w:r w:rsidRPr="003C5F5B">
        <w:t>Total revenue_attributed of 25,050,491.47 against a spend of 353,510,938.8 suggests a significant gap between investment and return.</w:t>
      </w:r>
    </w:p>
    <w:p w14:paraId="72D1347B" w14:textId="77777777" w:rsidR="004E4AB6" w:rsidRPr="003C5F5B" w:rsidRDefault="004E4AB6" w:rsidP="004E4AB6">
      <w:pPr>
        <w:numPr>
          <w:ilvl w:val="0"/>
          <w:numId w:val="3"/>
        </w:numPr>
        <w:spacing w:after="200" w:line="276" w:lineRule="auto"/>
      </w:pPr>
      <w:r w:rsidRPr="003C5F5B">
        <w:t>Direct Mail ranks third in revenue despite not being a top spending channel, indicating strong cost efficiency.</w:t>
      </w:r>
    </w:p>
    <w:p w14:paraId="2996D84E" w14:textId="78B32F27" w:rsidR="004E4AB6" w:rsidRDefault="004E4AB6" w:rsidP="004E4AB6">
      <w:pPr>
        <w:pStyle w:val="Heading1"/>
        <w:spacing w:before="240" w:after="120"/>
      </w:pPr>
      <w:r w:rsidRPr="003C5F5B">
        <w:t>Sale</w:t>
      </w:r>
      <w:r>
        <w:t>s Pipeline</w:t>
      </w:r>
    </w:p>
    <w:p w14:paraId="03FB7294" w14:textId="1AF4E4CE" w:rsidR="004E4AB6" w:rsidRPr="003C5F5B" w:rsidRDefault="004E4AB6" w:rsidP="004E4AB6">
      <w:r w:rsidRPr="003C5F5B">
        <w:t>The sheet provides an overview of sales pipeline performance, tracking 496 unique opportunities with a total deal value of 63,420 across multiple business segments.</w:t>
      </w:r>
    </w:p>
    <w:p w14:paraId="60675B80" w14:textId="77777777" w:rsidR="004E4AB6" w:rsidRPr="003C5F5B" w:rsidRDefault="004E4AB6" w:rsidP="004E4AB6">
      <w:pPr>
        <w:numPr>
          <w:ilvl w:val="0"/>
          <w:numId w:val="4"/>
        </w:numPr>
        <w:spacing w:after="200" w:line="276" w:lineRule="auto"/>
      </w:pPr>
      <w:r w:rsidRPr="003C5F5B">
        <w:t>A total of 496 distinct opportunities are recorded in the dataset, reflecting a broad sales pipeline.</w:t>
      </w:r>
    </w:p>
    <w:p w14:paraId="782E1F21" w14:textId="77777777" w:rsidR="004E4AB6" w:rsidRPr="003C5F5B" w:rsidRDefault="004E4AB6" w:rsidP="004E4AB6">
      <w:pPr>
        <w:numPr>
          <w:ilvl w:val="0"/>
          <w:numId w:val="4"/>
        </w:numPr>
        <w:spacing w:after="200" w:line="276" w:lineRule="auto"/>
      </w:pPr>
      <w:r w:rsidRPr="003C5F5B">
        <w:t>The Enterprise segment dominates revenue, contributing 36,660 in deal value — more than half of the total.</w:t>
      </w:r>
    </w:p>
    <w:p w14:paraId="1C6D28D4" w14:textId="77777777" w:rsidR="004E4AB6" w:rsidRPr="003C5F5B" w:rsidRDefault="004E4AB6" w:rsidP="004E4AB6">
      <w:pPr>
        <w:numPr>
          <w:ilvl w:val="0"/>
          <w:numId w:val="4"/>
        </w:numPr>
        <w:spacing w:after="200" w:line="276" w:lineRule="auto"/>
      </w:pPr>
      <w:r w:rsidRPr="003C5F5B">
        <w:t>The Large and Small segments trail significantly, generating 13,080 and 12,122 respectively.</w:t>
      </w:r>
    </w:p>
    <w:p w14:paraId="22C41FF7" w14:textId="77777777" w:rsidR="004E4AB6" w:rsidRPr="001538B2" w:rsidRDefault="004E4AB6" w:rsidP="004E4AB6">
      <w:pPr>
        <w:numPr>
          <w:ilvl w:val="0"/>
          <w:numId w:val="4"/>
        </w:numPr>
        <w:spacing w:after="200" w:line="276" w:lineRule="auto"/>
      </w:pPr>
      <w:r w:rsidRPr="003C5F5B">
        <w:t>Enterprise revenue is nearly three times that of the Large segment, highlighting a heavy reliance on enterprise deals.</w:t>
      </w:r>
    </w:p>
    <w:p w14:paraId="47002A71" w14:textId="1B88DCFC" w:rsidR="00C6778A" w:rsidRDefault="00C6778A" w:rsidP="004E4AB6">
      <w:pPr>
        <w:spacing w:after="120"/>
      </w:pPr>
    </w:p>
    <w:sectPr w:rsidR="00C6778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1B18"/>
    <w:multiLevelType w:val="multilevel"/>
    <w:tmpl w:val="2876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73BA7"/>
    <w:multiLevelType w:val="multilevel"/>
    <w:tmpl w:val="83AE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35C08"/>
    <w:multiLevelType w:val="hybridMultilevel"/>
    <w:tmpl w:val="E2EE79EC"/>
    <w:lvl w:ilvl="0" w:tplc="F0BACA0E">
      <w:start w:val="1"/>
      <w:numFmt w:val="bullet"/>
      <w:lvlText w:val="●"/>
      <w:lvlJc w:val="left"/>
      <w:pPr>
        <w:ind w:left="720" w:hanging="360"/>
      </w:pPr>
    </w:lvl>
    <w:lvl w:ilvl="1" w:tplc="F252CC46">
      <w:start w:val="1"/>
      <w:numFmt w:val="bullet"/>
      <w:lvlText w:val="○"/>
      <w:lvlJc w:val="left"/>
      <w:pPr>
        <w:ind w:left="1440" w:hanging="360"/>
      </w:pPr>
    </w:lvl>
    <w:lvl w:ilvl="2" w:tplc="57D4CCD6">
      <w:start w:val="1"/>
      <w:numFmt w:val="bullet"/>
      <w:lvlText w:val="■"/>
      <w:lvlJc w:val="left"/>
      <w:pPr>
        <w:ind w:left="2160" w:hanging="360"/>
      </w:pPr>
    </w:lvl>
    <w:lvl w:ilvl="3" w:tplc="BD6A02F2">
      <w:start w:val="1"/>
      <w:numFmt w:val="bullet"/>
      <w:lvlText w:val="●"/>
      <w:lvlJc w:val="left"/>
      <w:pPr>
        <w:ind w:left="2880" w:hanging="360"/>
      </w:pPr>
    </w:lvl>
    <w:lvl w:ilvl="4" w:tplc="75BE5748">
      <w:start w:val="1"/>
      <w:numFmt w:val="bullet"/>
      <w:lvlText w:val="○"/>
      <w:lvlJc w:val="left"/>
      <w:pPr>
        <w:ind w:left="3600" w:hanging="360"/>
      </w:pPr>
    </w:lvl>
    <w:lvl w:ilvl="5" w:tplc="E2DC9376">
      <w:start w:val="1"/>
      <w:numFmt w:val="bullet"/>
      <w:lvlText w:val="■"/>
      <w:lvlJc w:val="left"/>
      <w:pPr>
        <w:ind w:left="4320" w:hanging="360"/>
      </w:pPr>
    </w:lvl>
    <w:lvl w:ilvl="6" w:tplc="88DCD20E">
      <w:start w:val="1"/>
      <w:numFmt w:val="bullet"/>
      <w:lvlText w:val="●"/>
      <w:lvlJc w:val="left"/>
      <w:pPr>
        <w:ind w:left="5040" w:hanging="360"/>
      </w:pPr>
    </w:lvl>
    <w:lvl w:ilvl="7" w:tplc="EDF2E244">
      <w:start w:val="1"/>
      <w:numFmt w:val="bullet"/>
      <w:lvlText w:val="●"/>
      <w:lvlJc w:val="left"/>
      <w:pPr>
        <w:ind w:left="5760" w:hanging="360"/>
      </w:pPr>
    </w:lvl>
    <w:lvl w:ilvl="8" w:tplc="F4667ABA">
      <w:start w:val="1"/>
      <w:numFmt w:val="bullet"/>
      <w:lvlText w:val="●"/>
      <w:lvlJc w:val="left"/>
      <w:pPr>
        <w:ind w:left="6480" w:hanging="360"/>
      </w:pPr>
    </w:lvl>
  </w:abstractNum>
  <w:abstractNum w:abstractNumId="3" w15:restartNumberingAfterBreak="0">
    <w:nsid w:val="4B7C147B"/>
    <w:multiLevelType w:val="multilevel"/>
    <w:tmpl w:val="E2B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746245">
    <w:abstractNumId w:val="2"/>
    <w:lvlOverride w:ilvl="0">
      <w:startOverride w:val="1"/>
    </w:lvlOverride>
  </w:num>
  <w:num w:numId="2" w16cid:durableId="621691621">
    <w:abstractNumId w:val="1"/>
  </w:num>
  <w:num w:numId="3" w16cid:durableId="1794782686">
    <w:abstractNumId w:val="0"/>
  </w:num>
  <w:num w:numId="4" w16cid:durableId="895506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78A"/>
    <w:rsid w:val="004E4AB6"/>
    <w:rsid w:val="00673CE8"/>
    <w:rsid w:val="00C67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79219"/>
  <w15:docId w15:val="{AC6C1CE5-0D10-4DA1-9B14-B946122D9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E4AB6"/>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316</Words>
  <Characters>1803</Characters>
  <Application>Microsoft Office Word</Application>
  <DocSecurity>0</DocSecurity>
  <Lines>15</Lines>
  <Paragraphs>4</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Naren M K</cp:lastModifiedBy>
  <cp:revision>2</cp:revision>
  <dcterms:created xsi:type="dcterms:W3CDTF">2026-09-12T09:38:00Z</dcterms:created>
  <dcterms:modified xsi:type="dcterms:W3CDTF">2026-09-13T14:16:00Z</dcterms:modified>
</cp:coreProperties>
</file>