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348AE" w14:textId="77777777" w:rsidR="0003640A" w:rsidRDefault="0003640A">
      <w:pPr>
        <w:rPr>
          <w:b/>
        </w:rPr>
      </w:pPr>
      <w:r>
        <w:rPr>
          <w:b/>
        </w:rPr>
        <w:t>Service Areas:</w:t>
      </w:r>
    </w:p>
    <w:p w14:paraId="5959036B" w14:textId="77777777" w:rsidR="006A72AB" w:rsidRPr="006A72AB" w:rsidRDefault="006A72AB" w:rsidP="006A72AB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</w:pPr>
      <w:proofErr w:type="gramStart"/>
      <w:r w:rsidRPr="006A72AB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health</w:t>
      </w:r>
      <w:proofErr w:type="gramEnd"/>
      <w:r w:rsidRPr="006A72AB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 xml:space="preserve"> information exchange / interoperability</w:t>
      </w:r>
    </w:p>
    <w:p w14:paraId="46E50E3E" w14:textId="61BFD9E6" w:rsidR="006A72AB" w:rsidRPr="006A72AB" w:rsidRDefault="006A72AB" w:rsidP="006A72AB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  <w:r w:rsidRPr="006A72AB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6A72AB">
        <w:rPr>
          <w:rFonts w:ascii="Georgia" w:hAnsi="Georgia" w:cs="Times New Roman"/>
          <w:color w:val="555555"/>
          <w:sz w:val="23"/>
          <w:szCs w:val="23"/>
        </w:rPr>
        <w:t> Data exchange and interoperability strategic planning; vendor selection and technology implementation guidance; HIE management services; stakeholder outreach and engagement; governance and policy development focused on alignment with</w:t>
      </w:r>
      <w:r w:rsidR="00D81A13">
        <w:rPr>
          <w:rFonts w:ascii="Georgia" w:hAnsi="Georgia" w:cs="Times New Roman"/>
          <w:color w:val="555555"/>
          <w:sz w:val="23"/>
          <w:szCs w:val="23"/>
        </w:rPr>
        <w:t xml:space="preserve"> federal and state initiatives.</w:t>
      </w:r>
    </w:p>
    <w:p w14:paraId="28DC7887" w14:textId="77777777" w:rsidR="006A72AB" w:rsidRDefault="006A72AB">
      <w:pPr>
        <w:rPr>
          <w:b/>
        </w:rPr>
      </w:pPr>
    </w:p>
    <w:p w14:paraId="4F363887" w14:textId="77777777" w:rsidR="00D81A13" w:rsidRPr="003332E6" w:rsidRDefault="00D81A13" w:rsidP="00D81A13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</w:pPr>
      <w:proofErr w:type="gramStart"/>
      <w:r w:rsidRPr="003332E6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population</w:t>
      </w:r>
      <w:proofErr w:type="gramEnd"/>
      <w:r w:rsidRPr="003332E6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 xml:space="preserve"> health data management / analytics</w:t>
      </w:r>
    </w:p>
    <w:p w14:paraId="6E2368AF" w14:textId="4EBAD93D" w:rsidR="00D81A13" w:rsidRDefault="00D81A13" w:rsidP="00D81A13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  <w:r w:rsidRPr="003332E6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3332E6">
        <w:rPr>
          <w:rFonts w:ascii="Georgia" w:hAnsi="Georgia" w:cs="Times New Roman"/>
          <w:color w:val="555555"/>
          <w:sz w:val="23"/>
          <w:szCs w:val="23"/>
        </w:rPr>
        <w:t> Support</w:t>
      </w:r>
      <w:r>
        <w:rPr>
          <w:rFonts w:ascii="Georgia" w:hAnsi="Georgia" w:cs="Times New Roman"/>
          <w:color w:val="555555"/>
          <w:sz w:val="23"/>
          <w:szCs w:val="23"/>
        </w:rPr>
        <w:t xml:space="preserve"> providers, health systems, and community initiatives</w:t>
      </w:r>
      <w:r w:rsidRPr="003332E6">
        <w:rPr>
          <w:rFonts w:ascii="Georgia" w:hAnsi="Georgia" w:cs="Times New Roman"/>
          <w:color w:val="555555"/>
          <w:sz w:val="23"/>
          <w:szCs w:val="23"/>
        </w:rPr>
        <w:t xml:space="preserve"> in realizing their goals for population health management. We draw upon our </w:t>
      </w:r>
      <w:r>
        <w:rPr>
          <w:rFonts w:ascii="Georgia" w:hAnsi="Georgia" w:cs="Times New Roman"/>
          <w:color w:val="555555"/>
          <w:sz w:val="23"/>
          <w:szCs w:val="23"/>
        </w:rPr>
        <w:t xml:space="preserve">expertise in </w:t>
      </w:r>
      <w:r w:rsidRPr="003332E6">
        <w:rPr>
          <w:rFonts w:ascii="Georgia" w:hAnsi="Georgia" w:cs="Times New Roman"/>
          <w:color w:val="555555"/>
          <w:sz w:val="23"/>
          <w:szCs w:val="23"/>
        </w:rPr>
        <w:t>health IT</w:t>
      </w:r>
      <w:r>
        <w:rPr>
          <w:rFonts w:ascii="Georgia" w:hAnsi="Georgia" w:cs="Times New Roman"/>
          <w:color w:val="555555"/>
          <w:sz w:val="23"/>
          <w:szCs w:val="23"/>
        </w:rPr>
        <w:t xml:space="preserve">, </w:t>
      </w:r>
      <w:r w:rsidRPr="003332E6">
        <w:rPr>
          <w:rFonts w:ascii="Georgia" w:hAnsi="Georgia" w:cs="Times New Roman"/>
          <w:color w:val="555555"/>
          <w:sz w:val="23"/>
          <w:szCs w:val="23"/>
        </w:rPr>
        <w:t xml:space="preserve">systems </w:t>
      </w:r>
      <w:r>
        <w:rPr>
          <w:rFonts w:ascii="Georgia" w:hAnsi="Georgia" w:cs="Times New Roman"/>
          <w:color w:val="555555"/>
          <w:sz w:val="23"/>
          <w:szCs w:val="23"/>
        </w:rPr>
        <w:t xml:space="preserve">architecture </w:t>
      </w:r>
      <w:r w:rsidRPr="003332E6">
        <w:rPr>
          <w:rFonts w:ascii="Georgia" w:hAnsi="Georgia" w:cs="Times New Roman"/>
          <w:color w:val="555555"/>
          <w:sz w:val="23"/>
          <w:szCs w:val="23"/>
        </w:rPr>
        <w:t>design</w:t>
      </w:r>
      <w:r>
        <w:rPr>
          <w:rFonts w:ascii="Georgia" w:hAnsi="Georgia" w:cs="Times New Roman"/>
          <w:color w:val="555555"/>
          <w:sz w:val="23"/>
          <w:szCs w:val="23"/>
        </w:rPr>
        <w:t>, and clinical data research networks.</w:t>
      </w:r>
    </w:p>
    <w:p w14:paraId="1866E3B1" w14:textId="77777777" w:rsidR="00D81A13" w:rsidRDefault="00D81A13" w:rsidP="00D81A13">
      <w:pPr>
        <w:rPr>
          <w:b/>
        </w:rPr>
      </w:pPr>
    </w:p>
    <w:p w14:paraId="66B1FD19" w14:textId="77777777" w:rsidR="00D81A13" w:rsidRDefault="00D81A13" w:rsidP="00D81A13">
      <w:pPr>
        <w:rPr>
          <w:b/>
        </w:rPr>
      </w:pPr>
      <w:r>
        <w:rPr>
          <w:b/>
        </w:rPr>
        <w:t>Clinical Data Research Networks</w:t>
      </w:r>
    </w:p>
    <w:p w14:paraId="47ACA38A" w14:textId="01C34465" w:rsidR="00D81A13" w:rsidRPr="00D81A13" w:rsidRDefault="00D81A13" w:rsidP="00D81A13">
      <w:r>
        <w:rPr>
          <w:b/>
        </w:rPr>
        <w:t xml:space="preserve">What We Do: </w:t>
      </w:r>
      <w:r>
        <w:t>Provide guidance to emerging clinical data research networks on governance, policy, and technology alignment. Facilitate partnerships beyond research-oriented academic medical centers to include health systems, payers, health information exchange organizations, and community clinics.</w:t>
      </w:r>
    </w:p>
    <w:p w14:paraId="450ACC3C" w14:textId="77777777" w:rsidR="00D81A13" w:rsidRDefault="00D81A13" w:rsidP="00D81A13">
      <w:pPr>
        <w:rPr>
          <w:b/>
        </w:rPr>
      </w:pPr>
      <w:r>
        <w:rPr>
          <w:b/>
        </w:rPr>
        <w:t>Data Strategies for Managed Care</w:t>
      </w:r>
    </w:p>
    <w:p w14:paraId="3E39BA4B" w14:textId="12280AC9" w:rsidR="00D81A13" w:rsidRPr="00D81A13" w:rsidRDefault="00D81A13" w:rsidP="00D81A13">
      <w:r>
        <w:rPr>
          <w:b/>
        </w:rPr>
        <w:t xml:space="preserve">What We Do: </w:t>
      </w:r>
      <w:r>
        <w:t xml:space="preserve">Support health care organizations </w:t>
      </w:r>
      <w:r w:rsidR="00235E7D">
        <w:t xml:space="preserve">in </w:t>
      </w:r>
      <w:r>
        <w:t>develop</w:t>
      </w:r>
      <w:r w:rsidR="00235E7D">
        <w:t>ing</w:t>
      </w:r>
      <w:r>
        <w:t xml:space="preserve"> and implement</w:t>
      </w:r>
      <w:r w:rsidR="00235E7D">
        <w:t>ing the data infrastructure</w:t>
      </w:r>
      <w:r>
        <w:t xml:space="preserve"> required to succeed in managed care and value-based payment environments. We advise on strategies and tactics for health data analytics, care coordination, and care management.</w:t>
      </w:r>
    </w:p>
    <w:p w14:paraId="2632233C" w14:textId="77777777" w:rsidR="00D81A13" w:rsidRPr="00D81A13" w:rsidRDefault="00D81A13" w:rsidP="00D81A13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</w:pPr>
      <w:proofErr w:type="gramStart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it</w:t>
      </w:r>
      <w:proofErr w:type="gramEnd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 xml:space="preserve"> privacy, security, and infrastructure development</w:t>
      </w:r>
    </w:p>
    <w:p w14:paraId="6C7E7588" w14:textId="77777777" w:rsidR="00D81A13" w:rsidRPr="00D81A13" w:rsidRDefault="00D81A13" w:rsidP="00D81A13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  <w:r w:rsidRPr="00D81A13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D81A13">
        <w:rPr>
          <w:rFonts w:ascii="Georgia" w:hAnsi="Georgia" w:cs="Times New Roman"/>
          <w:color w:val="555555"/>
          <w:sz w:val="23"/>
          <w:szCs w:val="23"/>
        </w:rPr>
        <w:t> Guidance on the development and implementation of IT privacy and security policies, protocols, and technical infrastructure for large and small-scale EHR and/or HIE projects, such as HIPAA OMNIBUS rule compliance and HITECH Act data exchange security provisions; standards-driven solutions architecting for data exchange infrastructures.</w:t>
      </w:r>
    </w:p>
    <w:p w14:paraId="32B46FEA" w14:textId="77777777" w:rsidR="00D81A13" w:rsidRDefault="00D81A13">
      <w:pPr>
        <w:rPr>
          <w:b/>
        </w:rPr>
      </w:pPr>
    </w:p>
    <w:p w14:paraId="54FC9F13" w14:textId="77777777" w:rsidR="00D81A13" w:rsidRPr="00D81A13" w:rsidRDefault="00D81A13" w:rsidP="00D81A13">
      <w:pPr>
        <w:shd w:val="clear" w:color="auto" w:fill="FFFFFF"/>
        <w:spacing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</w:pPr>
      <w:proofErr w:type="gramStart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>meaningful</w:t>
      </w:r>
      <w:proofErr w:type="gramEnd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 xml:space="preserve"> use of electronic health records (</w:t>
      </w:r>
      <w:proofErr w:type="spellStart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>ehrs</w:t>
      </w:r>
      <w:proofErr w:type="spellEnd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>)</w:t>
      </w:r>
    </w:p>
    <w:p w14:paraId="7A6F834D" w14:textId="2D7B2A64" w:rsidR="00D81A13" w:rsidRPr="00D81A13" w:rsidRDefault="00D81A13" w:rsidP="00D81A13">
      <w:pPr>
        <w:shd w:val="clear" w:color="auto" w:fill="FFFFFF"/>
        <w:spacing w:after="60" w:line="432" w:lineRule="atLeast"/>
        <w:textAlignment w:val="baseline"/>
        <w:rPr>
          <w:rFonts w:ascii="inherit" w:hAnsi="inherit" w:cs="Times New Roman"/>
          <w:color w:val="555555"/>
          <w:sz w:val="23"/>
          <w:szCs w:val="23"/>
        </w:rPr>
      </w:pPr>
      <w:r w:rsidRPr="00D81A13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D81A13">
        <w:rPr>
          <w:rFonts w:ascii="inherit" w:hAnsi="inherit" w:cs="Times New Roman"/>
          <w:color w:val="555555"/>
          <w:sz w:val="23"/>
          <w:szCs w:val="23"/>
        </w:rPr>
        <w:t> Support providers in meeting Meaningful</w:t>
      </w:r>
      <w:r w:rsidR="00235E7D">
        <w:rPr>
          <w:rFonts w:ascii="inherit" w:hAnsi="inherit" w:cs="Times New Roman"/>
          <w:color w:val="555555"/>
          <w:sz w:val="23"/>
          <w:szCs w:val="23"/>
        </w:rPr>
        <w:t xml:space="preserve"> Use requirements, especially Stage 2 requirements</w:t>
      </w:r>
      <w:r w:rsidRPr="00D81A13">
        <w:rPr>
          <w:rFonts w:ascii="inherit" w:hAnsi="inherit" w:cs="Times New Roman"/>
          <w:color w:val="555555"/>
          <w:sz w:val="23"/>
          <w:szCs w:val="23"/>
        </w:rPr>
        <w:t xml:space="preserve"> related to data exchange including Transitions of Care and:</w:t>
      </w:r>
    </w:p>
    <w:p w14:paraId="230D144A" w14:textId="77777777" w:rsidR="00D81A13" w:rsidRPr="00D81A13" w:rsidRDefault="00D81A13" w:rsidP="00D81A13">
      <w:pPr>
        <w:shd w:val="clear" w:color="auto" w:fill="FFFFFF"/>
        <w:spacing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</w:pPr>
      <w:proofErr w:type="gramStart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lastRenderedPageBreak/>
        <w:t>public</w:t>
      </w:r>
      <w:proofErr w:type="gramEnd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 xml:space="preserve"> health reporting</w:t>
      </w:r>
    </w:p>
    <w:p w14:paraId="47D02357" w14:textId="77777777" w:rsidR="00D81A13" w:rsidRPr="00D81A13" w:rsidRDefault="00D81A13" w:rsidP="00D81A13">
      <w:pPr>
        <w:shd w:val="clear" w:color="auto" w:fill="FFFFFF"/>
        <w:spacing w:after="60" w:line="432" w:lineRule="atLeast"/>
        <w:textAlignment w:val="baseline"/>
        <w:rPr>
          <w:rFonts w:ascii="inherit" w:hAnsi="inherit" w:cs="Times New Roman"/>
          <w:color w:val="555555"/>
          <w:sz w:val="23"/>
          <w:szCs w:val="23"/>
        </w:rPr>
      </w:pPr>
      <w:r w:rsidRPr="00D81A13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D81A13">
        <w:rPr>
          <w:rFonts w:ascii="inherit" w:hAnsi="inherit" w:cs="Times New Roman"/>
          <w:color w:val="555555"/>
          <w:sz w:val="23"/>
          <w:szCs w:val="23"/>
        </w:rPr>
        <w:t> Assessments of providers’ current capabilities and needs for the electronic submission of data; guidance on efficiently meeting local, state, and federal requirements including Meaningful Use; vendor selection; system integration/implementation.</w:t>
      </w:r>
    </w:p>
    <w:p w14:paraId="16E88CE3" w14:textId="77777777" w:rsidR="00D81A13" w:rsidRPr="00D81A13" w:rsidRDefault="00D81A13" w:rsidP="00D81A13">
      <w:pPr>
        <w:shd w:val="clear" w:color="auto" w:fill="FFFFFF"/>
        <w:spacing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</w:pPr>
      <w:proofErr w:type="gramStart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>patient</w:t>
      </w:r>
      <w:proofErr w:type="gramEnd"/>
      <w:r w:rsidRPr="00D81A13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 xml:space="preserve"> engagement and access to information</w:t>
      </w:r>
    </w:p>
    <w:p w14:paraId="7271907E" w14:textId="77777777" w:rsidR="00D81A13" w:rsidRPr="00D81A13" w:rsidRDefault="00D81A13" w:rsidP="00D81A13">
      <w:pPr>
        <w:shd w:val="clear" w:color="auto" w:fill="FFFFFF"/>
        <w:spacing w:after="60" w:line="432" w:lineRule="atLeast"/>
        <w:textAlignment w:val="baseline"/>
        <w:rPr>
          <w:rFonts w:ascii="inherit" w:hAnsi="inherit" w:cs="Times New Roman"/>
          <w:color w:val="555555"/>
          <w:sz w:val="23"/>
          <w:szCs w:val="23"/>
        </w:rPr>
      </w:pPr>
      <w:r w:rsidRPr="00D81A13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D81A13">
        <w:rPr>
          <w:rFonts w:ascii="inherit" w:hAnsi="inherit" w:cs="Times New Roman"/>
          <w:color w:val="555555"/>
          <w:sz w:val="23"/>
          <w:szCs w:val="23"/>
        </w:rPr>
        <w:t> Assessments of providers’ current capabilities and needs; guidance on 2014 Meaningful Use requirements for stages 1 and 2; recommend technical approaches; facilitate effective patient engagement and data sharing; promote and configure low-cost options using personal health records and Direct.</w:t>
      </w:r>
    </w:p>
    <w:p w14:paraId="4C51ACE0" w14:textId="77777777" w:rsidR="003332E6" w:rsidRPr="000B1A67" w:rsidRDefault="003332E6">
      <w:bookmarkStart w:id="0" w:name="_GoBack"/>
      <w:bookmarkEnd w:id="0"/>
    </w:p>
    <w:p w14:paraId="34E9FB2B" w14:textId="77777777" w:rsidR="0003640A" w:rsidRPr="0003640A" w:rsidRDefault="0003640A"/>
    <w:sectPr w:rsidR="0003640A" w:rsidRPr="0003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usprincep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A"/>
    <w:rsid w:val="0003640A"/>
    <w:rsid w:val="000B1A67"/>
    <w:rsid w:val="001A0836"/>
    <w:rsid w:val="00235E7D"/>
    <w:rsid w:val="002B262C"/>
    <w:rsid w:val="003332E6"/>
    <w:rsid w:val="006A72AB"/>
    <w:rsid w:val="00700211"/>
    <w:rsid w:val="0080605C"/>
    <w:rsid w:val="009135BF"/>
    <w:rsid w:val="00D40C4D"/>
    <w:rsid w:val="00D81A13"/>
    <w:rsid w:val="00DB481E"/>
    <w:rsid w:val="00F1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C6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2E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2E6"/>
    <w:rPr>
      <w:rFonts w:ascii="Times" w:hAnsi="Times"/>
      <w:b/>
      <w:bCs/>
      <w:sz w:val="36"/>
      <w:szCs w:val="36"/>
    </w:rPr>
  </w:style>
  <w:style w:type="paragraph" w:customStyle="1" w:styleId="para1">
    <w:name w:val="para1"/>
    <w:basedOn w:val="Normal"/>
    <w:rsid w:val="003332E6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3332E6"/>
    <w:rPr>
      <w:b/>
      <w:bCs/>
    </w:rPr>
  </w:style>
  <w:style w:type="character" w:customStyle="1" w:styleId="apple-converted-space">
    <w:name w:val="apple-converted-space"/>
    <w:basedOn w:val="DefaultParagraphFont"/>
    <w:rsid w:val="003332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2E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2E6"/>
    <w:rPr>
      <w:rFonts w:ascii="Times" w:hAnsi="Times"/>
      <w:b/>
      <w:bCs/>
      <w:sz w:val="36"/>
      <w:szCs w:val="36"/>
    </w:rPr>
  </w:style>
  <w:style w:type="paragraph" w:customStyle="1" w:styleId="para1">
    <w:name w:val="para1"/>
    <w:basedOn w:val="Normal"/>
    <w:rsid w:val="003332E6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3332E6"/>
    <w:rPr>
      <w:b/>
      <w:bCs/>
    </w:rPr>
  </w:style>
  <w:style w:type="character" w:customStyle="1" w:styleId="apple-converted-space">
    <w:name w:val="apple-converted-space"/>
    <w:basedOn w:val="DefaultParagraphFont"/>
    <w:rsid w:val="0033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19">
          <w:marLeft w:val="842"/>
          <w:marRight w:val="842"/>
          <w:marTop w:val="25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460">
          <w:marLeft w:val="842"/>
          <w:marRight w:val="842"/>
          <w:marTop w:val="25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921">
          <w:marLeft w:val="842"/>
          <w:marRight w:val="842"/>
          <w:marTop w:val="25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Believe Health</dc:creator>
  <cp:lastModifiedBy>Mark</cp:lastModifiedBy>
  <cp:revision>5</cp:revision>
  <dcterms:created xsi:type="dcterms:W3CDTF">2015-04-03T21:54:00Z</dcterms:created>
  <dcterms:modified xsi:type="dcterms:W3CDTF">2015-04-07T02:49:00Z</dcterms:modified>
</cp:coreProperties>
</file>