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"BBB-DataBase";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SCHEMA bbb_dbs;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bbb_dbs.user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cpr character(10) NOT NULL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name character varying(100)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address character varying(100)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phone_nr character varying(100)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email character varying(100)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password character varying(100)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approved boolean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deletion_date date,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user_type public.user_type NOT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DOMAIN bbb_dbs.user_type AS character varying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CONSTRAINT user_type_check CHECK (((VALUE)::text = ANY ((ARRAY['client'::character varying, 'staff'::character varying, 'manager'::character varying])::text[])));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bbb_dbs.account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account_nr character varying(100) NOT NULL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description character varying(500),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balance real,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cpr character(10)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FOREIGN KEY(cpr) REFERENCES bbb_dbs.user(cpr)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bbb_dbs.exchange_rate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name character(3) NOT NULL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value double precision,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number_of_accounts integer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bbb_dbs.history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history_id integer NOT NULL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date date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"time" time without time zone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description character varying(500)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cpr character(10)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FOREIGN KEY(cpr) REFERENCES bbb_dbs.user(cpr)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bbb_dbs.loan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loan_id integer NOT NULL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amount double precision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cpr character(10)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FOREIGN KEY(cpr) REFERENCES bbb_dbs.user(cpr)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