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center" w:leader="none" w:pos="4770"/>
        </w:tabs>
        <w:rPr/>
      </w:pPr>
      <w:bookmarkStart w:colFirst="0" w:colLast="0" w:name="_uurxlkony2dt" w:id="0"/>
      <w:bookmarkEnd w:id="0"/>
      <w:r w:rsidDel="00000000" w:rsidR="00000000" w:rsidRPr="00000000">
        <w:rPr>
          <w:rtl w:val="0"/>
        </w:rPr>
        <w:t xml:space="preserve">Why Wages Stopped Building Wealth: The Structural Mechanics of Concentration (part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Through the 1990s, the typical US home cost roughly three times the median household income. By 2024, it cost five times, the highest ratio on record outside the 2006 housing-bubble peak.[1] In some metropolitan areas (San Jose, Los Angeles, San Francisco, Honolulu) the ratio reached ten or twelve times. Wealth concentration is the underlying phenomenon and the housing-cost-to-income ratio is one of the cleanest places to see it. Walk into a coffee shop in Hanoi or a coworking space in Da Nang and you can find the same conversation in a different register, where the question is not whether housing prices have outrun wages but whether the global financial system that produced them is one a Vietnamese household, a Russian expat, or a Thai professional can plausibly opt into. The shape of the question is global. The data is uneven.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third quarter of 2025, the top 1% of US households owned 31.7% of all wealth in the country, totaling approximately $55.8 trillion.[2] But the US is not the extreme case. Russia's top 1% holds approximately 48-56% of national wealth depending on the source, the highest concentration among large economies on record.[3] China's top 10% owns roughly 68% of national wealth, with the top 1% holding about a third, having moved from Nordic-equivalent equality in the late 1970s to approximate US levels in two generations.[5] Vietnam, by contrast, runs near the bottom of the comparable range, with the top 1% owning roughly 25% of national wealth and the top 10% around 60%, a level the country's compressed development has held relatively stable.[6] Thailand follows a different institutional pattern: the standard top-1% financial-wealth shares are less precisely measured, but a 2025 Land Watch Thai analysis found the top 1% controls 34.91% of titled land by value, with the top 10% owning land 710 times the bottom 10% by area.[4] Land concentration is the dominant institutional form of wealth concentration in Thailand, and is not strictly comparable to the financial-wealth shares used for the other four economies. Five countries operating in the same global capital markets, with different institutional configurations and dramatically different distributional outcomes. The mechanisms operate everywhere. The magnitudes are what institutions decide.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article tries to explain what specifically changed over the 1980 to 2025 window. Not the moral case for or against inequality, not policy recommendations (those are the subject of Article 2), and not a fully global picture (Article 3 takes that up). The structural part: which transmission channels did the work, why the standard answers compound slower than they used to, what the resulting picture implies for someone trying to make sense of where they actually stand, and (a question this article will engage directly rather than assume away) whether the institutions described owe anything to anyone in the first place.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One scope note before the analysis. Most of the data below comes from US sources, because the macro-data on wealth distribution there is the cleanest, longest, and most contested. The mechanisms operate in similar shapes across most developed and middle-income economies, but the institutional configurations differ, sometimes dramatically. Russia post-2022 looks nothing like Vietnam under Đổi Mới-era reforms, neither resembles Thailand's land-concentration pattern, and all of them have a different relationship to the global capital order than the US does. Where the comparative data is solid, I use it. Where it is not, the US data does double duty as the cleanest available case study, with the caveat that the magnitudes do not transfer directly. The bottom 50% of US households (which owns roughly 2.5% of US wealth) lives a different financial life than the wage-earning middle the article focuses on; the equivalent strata in Russia, Vietnam, Thailand, and China have different relationships to land, family wealth, and informal economies that are not fully reducible to the channels below.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rzvzdaxtptay" w:id="1"/>
      <w:bookmarkEnd w:id="1"/>
      <w:r w:rsidDel="00000000" w:rsidR="00000000" w:rsidRPr="00000000">
        <w:rPr>
          <w:rtl w:val="0"/>
        </w:rPr>
        <w:t xml:space="preserve">The framework: r &gt; g</w:t>
      </w:r>
    </w:p>
    <w:p w:rsidR="00000000" w:rsidDel="00000000" w:rsidP="00000000" w:rsidRDefault="00000000" w:rsidRPr="00000000" w14:paraId="0000000D">
      <w:pPr>
        <w:rPr/>
      </w:pPr>
      <w:r w:rsidDel="00000000" w:rsidR="00000000" w:rsidRPr="00000000">
        <w:rPr>
          <w:rtl w:val="0"/>
        </w:rPr>
        <w:t xml:space="preserve">The basic math comes from Thomas Piketty's </w:t>
      </w:r>
      <w:r w:rsidDel="00000000" w:rsidR="00000000" w:rsidRPr="00000000">
        <w:rPr>
          <w:i w:val="1"/>
          <w:iCs w:val="1"/>
          <w:rtl w:val="0"/>
        </w:rPr>
        <w:t xml:space="preserve">Capital in the Twenty-First Century</w:t>
      </w:r>
      <w:r w:rsidDel="00000000" w:rsidR="00000000" w:rsidRPr="00000000">
        <w:rPr>
          <w:rtl w:val="0"/>
        </w:rPr>
        <w:t xml:space="preserve"> (2014) and has been extended through the World Inequality Lab's subsequent work, with the </w:t>
      </w:r>
      <w:r w:rsidDel="00000000" w:rsidR="00000000" w:rsidRPr="00000000">
        <w:rPr>
          <w:i w:val="1"/>
          <w:iCs w:val="1"/>
          <w:rtl w:val="0"/>
        </w:rPr>
        <w:t xml:space="preserve">World Inequality Report 2026</w:t>
      </w:r>
      <w:r w:rsidDel="00000000" w:rsidR="00000000" w:rsidRPr="00000000">
        <w:rPr>
          <w:rtl w:val="0"/>
        </w:rPr>
        <w:t xml:space="preserve"> (released December 2025) the most current synthesis.[7][8] The shorthand is </w:t>
      </w:r>
      <w:r w:rsidDel="00000000" w:rsidR="00000000" w:rsidRPr="00000000">
        <w:rPr>
          <w:i w:val="1"/>
          <w:iCs w:val="1"/>
          <w:rtl w:val="0"/>
        </w:rPr>
        <w:t xml:space="preserve">r &gt; g</w:t>
      </w:r>
      <w:r w:rsidDel="00000000" w:rsidR="00000000" w:rsidRPr="00000000">
        <w:rPr>
          <w:rtl w:val="0"/>
        </w:rPr>
        <w:t xml:space="preserve">: when the rate of return on capital exceeds the rate of economic growth, wealth concentrates over time, mechanically, regardless of whether anyone in the system is being talented or lazy or virtuous or extractive.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intuition is easy if you slow down. If you own assets that grow at, say, 6% a year, and the broader economy (where wages live) grows at 2%, then over time the share of total economic output flowing to capital owners grows and the share flowing to workers shrinks. It does not matter that an individual capital owner is creating value or sitting on the beach in any particular year. The arithmetic does the work.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most of the 20th century, </w:t>
      </w:r>
      <w:r w:rsidDel="00000000" w:rsidR="00000000" w:rsidRPr="00000000">
        <w:rPr>
          <w:i w:val="1"/>
          <w:iCs w:val="1"/>
          <w:rtl w:val="0"/>
        </w:rPr>
        <w:t xml:space="preserve">r</w:t>
      </w:r>
      <w:r w:rsidDel="00000000" w:rsidR="00000000" w:rsidRPr="00000000">
        <w:rPr>
          <w:rtl w:val="0"/>
        </w:rPr>
        <w:t xml:space="preserve"> and </w:t>
      </w:r>
      <w:r w:rsidDel="00000000" w:rsidR="00000000" w:rsidRPr="00000000">
        <w:rPr>
          <w:i w:val="1"/>
          <w:iCs w:val="1"/>
          <w:rtl w:val="0"/>
        </w:rPr>
        <w:t xml:space="preserve">g</w:t>
      </w:r>
      <w:r w:rsidDel="00000000" w:rsidR="00000000" w:rsidRPr="00000000">
        <w:rPr>
          <w:rtl w:val="0"/>
        </w:rPr>
        <w:t xml:space="preserve"> were close enough that this dynamic did not compound dramatically. Two world wars, post-war reconstruction, high marginal tax rates, strong unions, and rapid productivity growth in the real economy kept the spread narrow. From roughly 1980 onward, </w:t>
      </w:r>
      <w:r w:rsidDel="00000000" w:rsidR="00000000" w:rsidRPr="00000000">
        <w:rPr>
          <w:i w:val="1"/>
          <w:iCs w:val="1"/>
          <w:rtl w:val="0"/>
        </w:rPr>
        <w:t xml:space="preserve">r</w:t>
      </w:r>
      <w:r w:rsidDel="00000000" w:rsidR="00000000" w:rsidRPr="00000000">
        <w:rPr>
          <w:rtl w:val="0"/>
        </w:rPr>
        <w:t xml:space="preserve"> started running comfortably above </w:t>
      </w:r>
      <w:r w:rsidDel="00000000" w:rsidR="00000000" w:rsidRPr="00000000">
        <w:rPr>
          <w:i w:val="1"/>
          <w:iCs w:val="1"/>
          <w:rtl w:val="0"/>
        </w:rPr>
        <w:t xml:space="preserve">g</w:t>
      </w:r>
      <w:r w:rsidDel="00000000" w:rsidR="00000000" w:rsidRPr="00000000">
        <w:rPr>
          <w:rtl w:val="0"/>
        </w:rPr>
        <w:t xml:space="preserve"> in the US and most of Europe, and the wealth concentration we see today is what 45 years of compounding that gap looks like.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post-1980 </w:t>
      </w:r>
      <w:r w:rsidDel="00000000" w:rsidR="00000000" w:rsidRPr="00000000">
        <w:rPr>
          <w:i w:val="1"/>
          <w:iCs w:val="1"/>
          <w:rtl w:val="0"/>
        </w:rPr>
        <w:t xml:space="preserve">r &gt; g</w:t>
      </w:r>
      <w:r w:rsidDel="00000000" w:rsidR="00000000" w:rsidRPr="00000000">
        <w:rPr>
          <w:rtl w:val="0"/>
        </w:rPr>
        <w:t xml:space="preserve"> gap has three credible explanations, and serious empirical work has not conclusively favored one over the others. The institutionalist view, associated with Daron Acemoglu (whose 2024 Nobel Prize in Economics recognized this body of work), Simon Johnson, James Robinson, Suresh Naidu, and others, argues </w:t>
      </w:r>
      <w:r w:rsidDel="00000000" w:rsidR="00000000" w:rsidRPr="00000000">
        <w:rPr>
          <w:i w:val="1"/>
          <w:iCs w:val="1"/>
          <w:rtl w:val="0"/>
        </w:rPr>
        <w:t xml:space="preserve">r</w:t>
      </w:r>
      <w:r w:rsidDel="00000000" w:rsidR="00000000" w:rsidRPr="00000000">
        <w:rPr>
          <w:rtl w:val="0"/>
        </w:rPr>
        <w:t xml:space="preserve"> was elevated by political and institutional choices: low capital taxation, financial deregulation, weakened labor coordination, and the channeling of new technologies in ways that favored capital over labor. Acemoglu and Johnson's </w:t>
      </w:r>
      <w:r w:rsidDel="00000000" w:rsidR="00000000" w:rsidRPr="00000000">
        <w:rPr>
          <w:i w:val="1"/>
          <w:iCs w:val="1"/>
          <w:rtl w:val="0"/>
        </w:rPr>
        <w:t xml:space="preserve">Power and Progress</w:t>
      </w:r>
      <w:r w:rsidDel="00000000" w:rsidR="00000000" w:rsidRPr="00000000">
        <w:rPr>
          <w:rtl w:val="0"/>
        </w:rPr>
        <w:t xml:space="preserve"> (2023) is the most accessible synthesis of the view: technological progress is not automatically broadly distributed; how its gains are distributed depends on institutions, and those institutions are political artifacts.[9] The neoclassical view (David Autor, Lawrence Katz, Claudia Goldin, working on skill-biased technological change and superstar firms) argues post-1980 </w:t>
      </w:r>
      <w:r w:rsidDel="00000000" w:rsidR="00000000" w:rsidRPr="00000000">
        <w:rPr>
          <w:i w:val="1"/>
          <w:iCs w:val="1"/>
          <w:rtl w:val="0"/>
        </w:rPr>
        <w:t xml:space="preserve">r</w:t>
      </w:r>
      <w:r w:rsidDel="00000000" w:rsidR="00000000" w:rsidRPr="00000000">
        <w:rPr>
          <w:rtl w:val="0"/>
        </w:rPr>
        <w:t xml:space="preserve"> was elevated because technology and globalization created winner-take-all dynamics that reward the most scalable human capital and firms, and concentration would have occurred under any reasonably neutral institutional configuration. A third reading deserves equal mention: the productivity-slowdown view (Robert Gordon's </w:t>
      </w:r>
      <w:r w:rsidDel="00000000" w:rsidR="00000000" w:rsidRPr="00000000">
        <w:rPr>
          <w:i w:val="1"/>
          <w:iCs w:val="1"/>
          <w:rtl w:val="0"/>
        </w:rPr>
        <w:t xml:space="preserve">The Rise and Fall of American Growth</w:t>
      </w:r>
      <w:r w:rsidDel="00000000" w:rsidR="00000000" w:rsidRPr="00000000">
        <w:rPr>
          <w:rtl w:val="0"/>
        </w:rPr>
        <w:t xml:space="preserve"> is the canonical text), which argues that </w:t>
      </w:r>
      <w:r w:rsidDel="00000000" w:rsidR="00000000" w:rsidRPr="00000000">
        <w:rPr>
          <w:i w:val="1"/>
          <w:iCs w:val="1"/>
          <w:rtl w:val="0"/>
        </w:rPr>
        <w:t xml:space="preserve">g</w:t>
      </w:r>
      <w:r w:rsidDel="00000000" w:rsidR="00000000" w:rsidRPr="00000000">
        <w:rPr>
          <w:rtl w:val="0"/>
        </w:rPr>
        <w:t xml:space="preserve"> fell substantially after 1973 as the great innovations of the second industrial revolution exhausted their growth contribution, and the post-1980 </w:t>
      </w:r>
      <w:r w:rsidDel="00000000" w:rsidR="00000000" w:rsidRPr="00000000">
        <w:rPr>
          <w:i w:val="1"/>
          <w:iCs w:val="1"/>
          <w:rtl w:val="0"/>
        </w:rPr>
        <w:t xml:space="preserve">r &gt; g</w:t>
      </w:r>
      <w:r w:rsidDel="00000000" w:rsidR="00000000" w:rsidRPr="00000000">
        <w:rPr>
          <w:rtl w:val="0"/>
        </w:rPr>
        <w:t xml:space="preserve"> gap is therefore mostly a denominator story (g falling) rather than a numerator story (r rising).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These three explanations are not mutually exclusive. The article uses the institutional frame because it maps most directly to the specific transmission channels described below, and because the cross-country variation (Russia 48-56% top 1% share vs Vietnam 25%, both operating in the same global capital markets) is hard to explain without an institutional account.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2025 empirical paper by Carlos Góes (working paper, May 2025) tests the r &gt; g hypothesis using panel VAR models on 18 advanced economies over 30 years and finds no empirical support for Piketty's specific causal chain driving income inequality, arguing that savings-rate adjustments and diminishing returns to capital offset the hypothesized effects.[45] Piketty himself, in his 2025 retrospective </w:t>
      </w:r>
      <w:r w:rsidDel="00000000" w:rsidR="00000000" w:rsidRPr="00000000">
        <w:rPr>
          <w:i w:val="1"/>
          <w:iCs w:val="1"/>
          <w:rtl w:val="0"/>
        </w:rPr>
        <w:t xml:space="preserve">Capital in the 21st Century, Ten Years Later</w:t>
      </w:r>
      <w:r w:rsidDel="00000000" w:rsidR="00000000" w:rsidRPr="00000000">
        <w:rPr>
          <w:rtl w:val="0"/>
        </w:rPr>
        <w:t xml:space="preserve"> (World Inequality Lab Working Paper 2025-21), places more emphasis on political and institutional dynamics, and on the political-economic conflict over how technology and globalization gains get distributed, than on the mechanical </w:t>
      </w:r>
      <w:r w:rsidDel="00000000" w:rsidR="00000000" w:rsidRPr="00000000">
        <w:rPr>
          <w:i w:val="1"/>
          <w:iCs w:val="1"/>
          <w:rtl w:val="0"/>
        </w:rPr>
        <w:t xml:space="preserve">r &gt; g</w:t>
      </w:r>
      <w:r w:rsidDel="00000000" w:rsidR="00000000" w:rsidRPr="00000000">
        <w:rPr>
          <w:rtl w:val="0"/>
        </w:rPr>
        <w:t xml:space="preserve"> formula.[46] These two recent revisions matter for how the article frames its argument. Taking Góes seriously means </w:t>
      </w:r>
      <w:r w:rsidDel="00000000" w:rsidR="00000000" w:rsidRPr="00000000">
        <w:rPr>
          <w:i w:val="1"/>
          <w:iCs w:val="1"/>
          <w:rtl w:val="0"/>
        </w:rPr>
        <w:t xml:space="preserve">r &gt; g</w:t>
      </w:r>
      <w:r w:rsidDel="00000000" w:rsidR="00000000" w:rsidRPr="00000000">
        <w:rPr>
          <w:rtl w:val="0"/>
        </w:rPr>
        <w:t xml:space="preserve"> does not function as the causal engine driving wealth concentration; the empirical evidence for that specific causal chain has weakened. What the article does going forward is treat </w:t>
      </w:r>
      <w:r w:rsidDel="00000000" w:rsidR="00000000" w:rsidRPr="00000000">
        <w:rPr>
          <w:i w:val="1"/>
          <w:iCs w:val="1"/>
          <w:rtl w:val="0"/>
        </w:rPr>
        <w:t xml:space="preserve">r &gt; g</w:t>
      </w:r>
      <w:r w:rsidDel="00000000" w:rsidR="00000000" w:rsidRPr="00000000">
        <w:rPr>
          <w:rtl w:val="0"/>
        </w:rPr>
        <w:t xml:space="preserve"> as a useful heuristic for describing the gap between capital and wage compounding rates over the 1980-2025 window, while putting the causal weight on the specific institutional channels described below. The five channels are the mechanism. </w:t>
      </w:r>
      <w:r w:rsidDel="00000000" w:rsidR="00000000" w:rsidRPr="00000000">
        <w:rPr>
          <w:i w:val="1"/>
          <w:iCs w:val="1"/>
          <w:rtl w:val="0"/>
        </w:rPr>
        <w:t xml:space="preserve">r &gt; g</w:t>
      </w:r>
      <w:r w:rsidDel="00000000" w:rsidR="00000000" w:rsidRPr="00000000">
        <w:rPr>
          <w:rtl w:val="0"/>
        </w:rPr>
        <w:t xml:space="preserve"> is descriptive shorthand for the gap they produce, not the engine that produces it. This re-framing matters for any prediction about the next 25 years: changes to the channels themselves (monetary policy, housing finance, the tax code, retirement institutions, buyback regulation) will move the distribution; changes to the abstract ratio of </w:t>
      </w:r>
      <w:r w:rsidDel="00000000" w:rsidR="00000000" w:rsidRPr="00000000">
        <w:rPr>
          <w:i w:val="1"/>
          <w:iCs w:val="1"/>
          <w:rtl w:val="0"/>
        </w:rPr>
        <w:t xml:space="preserve">r</w:t>
      </w:r>
      <w:r w:rsidDel="00000000" w:rsidR="00000000" w:rsidRPr="00000000">
        <w:rPr>
          <w:rtl w:val="0"/>
        </w:rPr>
        <w:t xml:space="preserve"> to </w:t>
      </w:r>
      <w:r w:rsidDel="00000000" w:rsidR="00000000" w:rsidRPr="00000000">
        <w:rPr>
          <w:i w:val="1"/>
          <w:iCs w:val="1"/>
          <w:rtl w:val="0"/>
        </w:rPr>
        <w:t xml:space="preserve">g</w:t>
      </w:r>
      <w:r w:rsidDel="00000000" w:rsidR="00000000" w:rsidRPr="00000000">
        <w:rPr>
          <w:rtl w:val="0"/>
        </w:rPr>
        <w:t xml:space="preserve">, in isolation, may not.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o73ne7yprw0u" w:id="2"/>
      <w:bookmarkEnd w:id="2"/>
      <w:r w:rsidDel="00000000" w:rsidR="00000000" w:rsidRPr="00000000">
        <w:rPr>
          <w:rtl w:val="0"/>
        </w:rPr>
        <w:t xml:space="preserve">A counter-argument worth taking seriously</w:t>
      </w:r>
    </w:p>
    <w:p w:rsidR="00000000" w:rsidDel="00000000" w:rsidP="00000000" w:rsidRDefault="00000000" w:rsidRPr="00000000" w14:paraId="0000001B">
      <w:pPr>
        <w:rPr/>
      </w:pPr>
      <w:r w:rsidDel="00000000" w:rsidR="00000000" w:rsidRPr="00000000">
        <w:rPr>
          <w:rtl w:val="0"/>
        </w:rPr>
        <w:t xml:space="preserve">The strongest objection to this framing is the absolute-level critique. Global extreme poverty fell from approximately 42% in 1980 to under 10% by 2024, the largest absolute reduction in poverty in human history. Vietnam alone lifted 40 million people out of poverty between 1993 and 2014 (a fact I explored in the context of compressed modernization in </w:t>
      </w:r>
      <w:r w:rsidDel="00000000" w:rsidR="00000000" w:rsidRPr="00000000">
        <w:rPr>
          <w:i w:val="1"/>
          <w:iCs w:val="1"/>
          <w:rtl w:val="0"/>
        </w:rPr>
        <w:t xml:space="preserve">Vietnam Between the Village and the Megacity</w:t>
      </w:r>
      <w:r w:rsidDel="00000000" w:rsidR="00000000" w:rsidRPr="00000000">
        <w:rPr>
          <w:rtl w:val="0"/>
        </w:rPr>
        <w:t xml:space="preserve">, my essay on Vietnamese urbanization).[10] China's reform-era poverty reduction is even larger in absolute terms. Inside the US, median household real consumption (housing quality, healthcare access, technology, lifespan) rose meaningfully even as wealth share narrowed. A reasonable person can ask: why does the share metric matter more than the level?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They measure different things and both are real. Absolute living standards improved, and that is not in dispute. Article 3 returns to the global poverty pattern (China, India, and Vietnam being the largest cases, driven by mechanisms different from those at work in rich-country wealth concentration). For now: share-based concentration matters because wealth share, not consumption level, determines several things consumption cannot. Asset access (whether the next generation can enter the housing or equity markets at all). Political influence (the political feedback section below). Intergenerational mobility (sensitive to relative wealth more than to absolute consumption). Macroeconomic stability (concentrated wealth has lower spending velocity).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second objection worth engaging is the lifecycle / cohort interpretation of wealth-share statistics, associated with Edward Wolff and others. Top 1% and top 10% wealth-share figures conflate the genuinely rich with people in their peak earning-and-saving years. Some portion of the post-1980 concentration rise reflects mechanical demographics: aging societies in which the 55-75 cohort has had more years to accumulate, larger cohorts entering retirement age, and longer life expectancy stretching wealth across more years. This is not a refutation of the institutional reading, but it is a real component of the headline numbers that pure-institution accounts under-weight. The honest version is that some non-trivial fraction of measured concentration is age-structure compounding, and the institutional channels described below operate on top of that demographic baseline rather than independently of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Both descriptions are true of the same period. The article focuses on the share story because that is where the post-1980 mechanisms operate most visibly.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cross-country comparison itself is the strongest evidence for the institutional reading. If wealth concentration were purely a function of technology and global capital markets, countries operating in those same markets should converge toward similar concentration levels. They do not. The roughly 25-percentage-point gap between Russia (top 1% holds 48-56% of wealth) and Vietnam (top 1% holds ~25%) is not explained by differences in technology access or global trade exposure. It is explained by institutions: how wealth was originally allocated, who got privatized assets at what prices, what the tax structure does, how property rights interact with family networks, and what redistribution mechanisms exist. The mechanisms described below operate in each of these countries; the dials are set differently.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7g95vpp9sn61" w:id="3"/>
      <w:bookmarkEnd w:id="3"/>
      <w:r w:rsidDel="00000000" w:rsidR="00000000" w:rsidRPr="00000000">
        <w:rPr>
          <w:rtl w:val="0"/>
        </w:rPr>
        <w:t xml:space="preserve">On obligation and self-reliance</w:t>
      </w:r>
    </w:p>
    <w:p w:rsidR="00000000" w:rsidDel="00000000" w:rsidP="00000000" w:rsidRDefault="00000000" w:rsidRPr="00000000" w14:paraId="00000027">
      <w:pPr>
        <w:rPr/>
      </w:pPr>
      <w:r w:rsidDel="00000000" w:rsidR="00000000" w:rsidRPr="00000000">
        <w:rPr>
          <w:rtl w:val="0"/>
        </w:rPr>
        <w:t xml:space="preserve">Before the five channels, a question worth engaging directly: do the institutions described owe anything to the people they affect? Through most of the analysis below, language like </w:t>
      </w:r>
      <w:r w:rsidDel="00000000" w:rsidR="00000000" w:rsidRPr="00000000">
        <w:rPr>
          <w:i w:val="1"/>
          <w:iCs w:val="1"/>
          <w:rtl w:val="0"/>
        </w:rPr>
        <w:t xml:space="preserve">risk migration</w:t>
      </w:r>
      <w:r w:rsidDel="00000000" w:rsidR="00000000" w:rsidRPr="00000000">
        <w:rPr>
          <w:rtl w:val="0"/>
        </w:rPr>
        <w:t xml:space="preserve">, </w:t>
      </w:r>
      <w:r w:rsidDel="00000000" w:rsidR="00000000" w:rsidRPr="00000000">
        <w:rPr>
          <w:i w:val="1"/>
          <w:iCs w:val="1"/>
          <w:rtl w:val="0"/>
        </w:rPr>
        <w:t xml:space="preserve">bypassing the wage column</w:t>
      </w:r>
      <w:r w:rsidDel="00000000" w:rsidR="00000000" w:rsidRPr="00000000">
        <w:rPr>
          <w:rtl w:val="0"/>
        </w:rPr>
        <w:t xml:space="preserve">, </w:t>
      </w:r>
      <w:r w:rsidDel="00000000" w:rsidR="00000000" w:rsidRPr="00000000">
        <w:rPr>
          <w:i w:val="1"/>
          <w:iCs w:val="1"/>
          <w:rtl w:val="0"/>
        </w:rPr>
        <w:t xml:space="preserve">severed link</w:t>
      </w:r>
      <w:r w:rsidDel="00000000" w:rsidR="00000000" w:rsidRPr="00000000">
        <w:rPr>
          <w:rtl w:val="0"/>
        </w:rPr>
        <w:t xml:space="preserve"> between corporate cash flow and worker compensation carries an implicit normative weight, as if these arrangements ought to be different. That implicit weight is worth surfacing because it is not universal and it is not obvious.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Three positions are worth taking seriously, and the article does not adjudicate among them.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welfare-state view.</w:t>
      </w:r>
      <w:r w:rsidDel="00000000" w:rsidR="00000000" w:rsidRPr="00000000">
        <w:rPr>
          <w:rtl w:val="0"/>
        </w:rPr>
        <w:t xml:space="preserve"> Post-WWII Western democracies built an implicit social contract: capital that benefits from collective infrastructure (educated workforce, stable property rights, functional courts, public investment in basic research) carries an obligation to share the surplus broadly. Defined-benefit pensions, progressive taxation, public healthcare, and labor protections were the institutional expression of that contract. From this view, the post-1980 unwinding of these arrangements is a one-sided contract revision, not a natural outcome of markets, and the wealth concentration that followed is the predictable consequence of broken commitments.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The libertarian or voluntaryist view.</w:t>
      </w:r>
      <w:r w:rsidDel="00000000" w:rsidR="00000000" w:rsidRPr="00000000">
        <w:rPr>
          <w:rtl w:val="0"/>
        </w:rPr>
        <w:t xml:space="preserve"> Institutions have no positive obligations beyond those they explicitly contract for. Employers do not owe pensions unless pensions are in the employment agreement. The state does not owe healthcare unless its citizens have authorized that obligation through a political process they continue to ratify. Individuals are responsible for their own outcomes; the wealth distribution that results from voluntary exchanges, however unequal, is the legitimate outcome of free choices. From this view, the "asymmetric risk-reward transfer" the article describes is not a transfer at all but a series of voluntary arrangements among consenting parties, and the resentment some readers feel at the pattern reflects an unexamined expectation of entitlement.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The empirical-pragmatist view.</w:t>
      </w:r>
      <w:r w:rsidDel="00000000" w:rsidR="00000000" w:rsidRPr="00000000">
        <w:rPr>
          <w:rtl w:val="0"/>
        </w:rPr>
        <w:t xml:space="preserve"> Whether institutions "should" provide pensions, healthcare, or broad-based prosperity is a question politics decides, not nature. Different societies have decided differently. Nordic countries with strong labor coordination and progressive taxation show meaningfully less wealth concentration than the US, which decided differently. Russia after its 1990s privatizations decided in a third direction. Vietnam, building a developmental state inside an authoritarian framework, decided in a fourth. None of these is uniquely natural; all are political artifacts. The question is not what institutions "owe" but what trade-offs each society has accepted and whether those trade-offs serve the values the society claims to hold.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write this from Da Nang, ten years out of Russia. By circumstance, my working life has run on the libertarian-pragmatist side of this map: no pension expectations, no national social safety net I can reach, no union, no employer that has promised me continuity beyond the current contract. A flag worth raising on my own position: the article applies survivorship-bias scrutiny to crypto whales and tech equity comp; the same scrutiny applies to the personal frame I am using here. What my actual life "embodies" reflects the position of someone for whom ten years of self-employment in Asia have produced a tolerable outcome. The founders, freelancers, and expats whose self-reliance produced different results — bankruptcy, return migration, salaried work after a failed run, the quiet exits the article does not have access to — are not in this dataset. The libertarian-pragmatist position I describe is the one operating from inside a working version of the trade, not a sample average across everyone who tried 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rest of the article describes the mechanics. Whether the reader experiences them as broken commitments, as voluntary arrangements working as designed, or as political choices to be evaluated on consequences is a question the article hands to the reader.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93atmexwaaj5" w:id="4"/>
      <w:bookmarkEnd w:id="4"/>
      <w:r w:rsidDel="00000000" w:rsidR="00000000" w:rsidRPr="00000000">
        <w:rPr>
          <w:rtl w:val="0"/>
        </w:rPr>
        <w:t xml:space="preserve">Five transmission channels</w:t>
      </w:r>
    </w:p>
    <w:p w:rsidR="00000000" w:rsidDel="00000000" w:rsidP="00000000" w:rsidRDefault="00000000" w:rsidRPr="00000000" w14:paraId="00000037">
      <w:pPr>
        <w:rPr/>
      </w:pPr>
      <w:r w:rsidDel="00000000" w:rsidR="00000000" w:rsidRPr="00000000">
        <w:rPr>
          <w:rtl w:val="0"/>
        </w:rPr>
        <w:t xml:space="preserve">The aggregate </w:t>
      </w:r>
      <w:r w:rsidDel="00000000" w:rsidR="00000000" w:rsidRPr="00000000">
        <w:rPr>
          <w:i w:val="1"/>
          <w:iCs w:val="1"/>
          <w:rtl w:val="0"/>
        </w:rPr>
        <w:t xml:space="preserve">r &gt; g</w:t>
      </w:r>
      <w:r w:rsidDel="00000000" w:rsidR="00000000" w:rsidRPr="00000000">
        <w:rPr>
          <w:rtl w:val="0"/>
        </w:rPr>
        <w:t xml:space="preserve"> picture shows up at the household level through specific channels. Five of them matter most for the gap between what wages can build and what capital can build, and they are easier to see one at a time than as a single statistic. Channel 1 (monetary policy) is the most cyclical of the five; its 14-year run from 2008 to 2022 was a substantial accelerant rather than a permanent feature. Channels 2 through 5 are durable institutional configurations that compounded across the full 45-year window in the US and in adapted forms elsewhere.</w:t>
      </w:r>
    </w:p>
    <w:p w:rsidR="00000000" w:rsidDel="00000000" w:rsidP="00000000" w:rsidRDefault="00000000" w:rsidRPr="00000000" w14:paraId="00000038">
      <w:pPr>
        <w:pStyle w:val="Heading3"/>
        <w:rPr/>
      </w:pPr>
      <w:bookmarkStart w:colFirst="0" w:colLast="0" w:name="_ocybfv652grh" w:id="5"/>
      <w:bookmarkEnd w:id="5"/>
      <w:r w:rsidDel="00000000" w:rsidR="00000000" w:rsidRPr="00000000">
        <w:rPr>
          <w:rtl w:val="0"/>
        </w:rPr>
        <w:t xml:space="preserve">1. Monetary policy and quantitative easing as asset-price inflator</w:t>
      </w:r>
    </w:p>
    <w:p w:rsidR="00000000" w:rsidDel="00000000" w:rsidP="00000000" w:rsidRDefault="00000000" w:rsidRPr="00000000" w14:paraId="00000039">
      <w:pPr>
        <w:rPr/>
      </w:pPr>
      <w:r w:rsidDel="00000000" w:rsidR="00000000" w:rsidRPr="00000000">
        <w:rPr>
          <w:rtl w:val="0"/>
        </w:rPr>
        <w:t xml:space="preserve">The high returns on capital since roughly 2008 are not just the result of corporate dynamism or technological progress. They are partly the direct artifact of central bank policy.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After the 2008 financial crisis and again during the COVID pandemic, the Federal Reserve and most major central banks held interest rates at or near zero (the Fed's policy rate was below 0.25% from December 2008 to December 2015, and again from March 2020 to March 2022) and ran multiple rounds of quantitative easing (QE), in which the central bank purchased trillions of dollars of long-duration assets to push down long-term yields. The mechanical consequence of holding rates artificially low is that the prices of long-duration assets (stocks, real estate, long-dated bonds) rise, because their future cash flows get discounted at a lower rate.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Households that held large positions in those assets through the 2008 to 2022 window saw their wealth appreciate substantially without doing anything. Households that did not hold those positions saw their wages stagnate while the price of every asset they might want to buy (a home, equities for retirement) inflated past them.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Russian case after February 2022 ran in the opposite direction with a similar concentrating effect: capital controls, sanctions, and a sharp ruble depreciation crystallized the wealth advantage of those who already held internationally-tradable assets (real estate abroad, foreign equities, USD/EUR holdings, crypto) over those whose savings stayed in domestic ruble assets. The mechanism is different from US QE, but the directional consequence (asset-holders win, wage-earners and ruble-holders lose) is the same.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size of the QE effect on US inequality is debated. Some economists argue that QE's direct asset-price impact has been overstated and that most recent wealth concentration would have occurred even without it. Others argue QE was the primary mechanism for recent inequality growth. The position taken here is the middle one: QE was not the only driver, but it was a substantial accelerant during 14 years when its mechanical effects ran in the same direction as every other concentration channel. The post-2022 normalization tightened policy somewhat, but most of the embedded gain has stayed embedded.</w:t>
      </w:r>
    </w:p>
    <w:p w:rsidR="00000000" w:rsidDel="00000000" w:rsidP="00000000" w:rsidRDefault="00000000" w:rsidRPr="00000000" w14:paraId="00000042">
      <w:pPr>
        <w:pStyle w:val="Heading3"/>
        <w:rPr/>
      </w:pPr>
      <w:bookmarkStart w:colFirst="0" w:colLast="0" w:name="_f0fobwuks75n" w:id="6"/>
      <w:bookmarkEnd w:id="6"/>
      <w:r w:rsidDel="00000000" w:rsidR="00000000" w:rsidRPr="00000000">
        <w:rPr>
          <w:rtl w:val="0"/>
        </w:rPr>
        <w:t xml:space="preserve">2. Housing as the post-2012 divider</w:t>
      </w:r>
    </w:p>
    <w:p w:rsidR="00000000" w:rsidDel="00000000" w:rsidP="00000000" w:rsidRDefault="00000000" w:rsidRPr="00000000" w14:paraId="00000043">
      <w:pPr>
        <w:rPr/>
      </w:pPr>
      <w:r w:rsidDel="00000000" w:rsidR="00000000" w:rsidRPr="00000000">
        <w:rPr>
          <w:rtl w:val="0"/>
        </w:rPr>
        <w:t xml:space="preserve">The most consequential class line in most developed economies in 2026 is whether you owned a home before roughly 2013 or whether you did not. This was not this sharp ten years ago. It is now the single largest factor in whether a middle-class household quietly becomes upper-middle-class or quietly slides toward asset-poor.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Case-Shiller US National Home Price Index hit its post-bubble low at 113.89 in Q1 2012 and stood at 326.61 by January 2026.[11] That is roughly a 2.85x increase in 14 years, while US wages grew nominally about 40% over the same period and in real terms barely moved.[12] A household that bought a median home in 2012 with a 20% down payment now sits on an unrealized capital gain larger than the median household's </w:t>
      </w:r>
      <w:r w:rsidDel="00000000" w:rsidR="00000000" w:rsidRPr="00000000">
        <w:rPr>
          <w:i w:val="1"/>
          <w:iCs w:val="1"/>
          <w:rtl w:val="0"/>
        </w:rPr>
        <w:t xml:space="preserve">total wealth</w:t>
      </w:r>
      <w:r w:rsidDel="00000000" w:rsidR="00000000" w:rsidRPr="00000000">
        <w:rPr>
          <w:rtl w:val="0"/>
        </w:rPr>
        <w:t xml:space="preserve"> in 2012 (approximately $81,400 per Federal Reserve Survey of Consumer Finances).[13]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same divide operates with different mechanics elsewhere. In Bangkok and surrounding Thai provinces, top 1% land ownership reached 34.91% of titled land by value as of 2025, with the top 10% holding 710 times more land than the bottom 10% by area.[14] Land ownership concentration in Thailand is a longer-running phenomenon than US housing appreciation, but the post-2012 capital inflows and tourism-driven property speculation have intensified it. In Vietnam, where the </w:t>
      </w:r>
      <w:r w:rsidDel="00000000" w:rsidR="00000000" w:rsidRPr="00000000">
        <w:rPr>
          <w:i w:val="1"/>
          <w:iCs w:val="1"/>
          <w:rtl w:val="0"/>
        </w:rPr>
        <w:t xml:space="preserve">nhà ống</w:t>
      </w:r>
      <w:r w:rsidDel="00000000" w:rsidR="00000000" w:rsidRPr="00000000">
        <w:rPr>
          <w:rtl w:val="0"/>
        </w:rPr>
        <w:t xml:space="preserve"> (tube house) tradition and limited urban land have produced a different housing-finance configuration than the US 30-year fixed mortgage, residential property is still the dominant household wealth-store; wealth inequality in the country has been driven primarily by housing values and durable goods, with rural-urban and ethnic divisions overlaid.[15] In Russia, foreign-currency real estate and out-of-country properties (Dubai, Cyprus, Turkey, Thailand, Vietnam) became the dominant capital-preservation strategy after February 2022. The mechanism varies; the underlying logic is consistent. Housing, broadly construed, is where a meaningful share of the post-1980 wealth concentration sits.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 the US specifically, this is also where the wage-earning middle class internally divides. A pre-2013 homeowner in a major US metro is, in part, a beneficiary of the same </w:t>
      </w:r>
      <w:r w:rsidDel="00000000" w:rsidR="00000000" w:rsidRPr="00000000">
        <w:rPr>
          <w:i w:val="1"/>
          <w:iCs w:val="1"/>
          <w:rtl w:val="0"/>
        </w:rPr>
        <w:t xml:space="preserve">r &gt; g</w:t>
      </w:r>
      <w:r w:rsidDel="00000000" w:rsidR="00000000" w:rsidRPr="00000000">
        <w:rPr>
          <w:rtl w:val="0"/>
        </w:rPr>
        <w:t xml:space="preserve"> dynamic this article describes; their housing equity has appreciated faster than their wages would have allowed them to save. Post-2013 entrants and renters are not. When this article refers to "the middle class" being squeezed, it more precisely means the partition of the middle class on the wrong side of the housing channel. The split also has a generational shape: a 1995 buyer who is now a wage-earner with a paid-off house has accumulated cumulative QE-era housing appreciation, entered before the bubble, and likely retired into a defined-benefit plan; a 2020 buyer is exposed to channel 1 in reverse and to channel 4 fully. The "wage-earning middle class" of 2026 contains a 60-year-old who is structurally insulated and a 30-year-old who is not.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What put each US household on which side is partly timing (being old enough to buy in 2012), partly local market exposure, and partly capital access at the moment of entry. The capital-access piece is increasingly visible in the data. The National Association of Realtors' 2024 Profile of Home Buyers and Sellers reports that 25% of first-time US homebuyers received a gift or loan from a relative or friend toward their down payment, and inheritance-funded purchases reached an all-time high of 7%.[16] The combined share of buyers using some form of family wealth transfer has been climbing for the past decade. Family wealth transfer is not the single biggest predictor of who gets in (timing, income, and creditworthiness all carry more statistical weight), but it is a substantial and growing factor.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There is also a dual-income dynamic. In 2024, 62% of all US home buyers were married couples, who are disproportionately dual-earner households, and the median home buyer's household income was approximately $108,800, well above the median US household income of around $80,000.[17] The marginal home buyer in most US metros is a dual-earner household, which means the price-to-single-income ratio has risen steeper than the headline price-to-median-income ratio suggests.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deeper effect is the implicit subsidy embedded in the US housing finance system. A 30-year fixed-rate mortgage functions as long-duration leveraged exposure to housing as an asset class, with cheap government-backed financing (Government-Sponsored Enterprises like Fannie Mae and Freddie Mac standing behind most mortgages), deductible interest in the early years, and capital gains exclusion of $250,000 to $500,000 at sale. Vietnam, Russia, and Thailand each have very different mortgage and property-tax regimes; the US configuration is a specific institutional choice, not a feature of capitalism in general.</w:t>
      </w:r>
    </w:p>
    <w:p w:rsidR="00000000" w:rsidDel="00000000" w:rsidP="00000000" w:rsidRDefault="00000000" w:rsidRPr="00000000" w14:paraId="00000050">
      <w:pPr>
        <w:pStyle w:val="Heading3"/>
        <w:rPr/>
      </w:pPr>
      <w:bookmarkStart w:colFirst="0" w:colLast="0" w:name="_yx8g8fv470wp" w:id="7"/>
      <w:bookmarkEnd w:id="7"/>
      <w:r w:rsidDel="00000000" w:rsidR="00000000" w:rsidRPr="00000000">
        <w:rPr>
          <w:rtl w:val="0"/>
        </w:rPr>
        <w:t xml:space="preserve">3. Buy, borrow, die: how the top 0.1% actually pays</w:t>
      </w:r>
    </w:p>
    <w:p w:rsidR="00000000" w:rsidDel="00000000" w:rsidP="00000000" w:rsidRDefault="00000000" w:rsidRPr="00000000" w14:paraId="00000051">
      <w:pPr>
        <w:rPr/>
      </w:pPr>
      <w:r w:rsidDel="00000000" w:rsidR="00000000" w:rsidRPr="00000000">
        <w:rPr>
          <w:rtl w:val="0"/>
        </w:rPr>
        <w:t xml:space="preserve">If housing is the divider inside the broad middle class, the divider between the top 1% and everyone else in the US is what wealth advisors call the </w:t>
      </w:r>
      <w:r w:rsidDel="00000000" w:rsidR="00000000" w:rsidRPr="00000000">
        <w:rPr>
          <w:i w:val="1"/>
          <w:iCs w:val="1"/>
          <w:rtl w:val="0"/>
        </w:rPr>
        <w:t xml:space="preserve">buy, borrow, die</w:t>
      </w:r>
      <w:r w:rsidDel="00000000" w:rsidR="00000000" w:rsidRPr="00000000">
        <w:rPr>
          <w:rtl w:val="0"/>
        </w:rPr>
        <w:t xml:space="preserve"> strategy.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 do not sell your appreciated assets, because selling triggers capital gains tax. Instead, you borrow against them, using portfolios of stocks or real estate as collateral. Modern private banking offers these loans (securities-based lines of credit) at interest rates of 2 to 5% in normal monetary environments and even lower for ultra-wealthy clients. You spend the loan proceeds for whatever you want, including more investments. When you die, your heirs inherit the assets at </w:t>
      </w:r>
      <w:r w:rsidDel="00000000" w:rsidR="00000000" w:rsidRPr="00000000">
        <w:rPr>
          <w:i w:val="1"/>
          <w:iCs w:val="1"/>
          <w:rtl w:val="0"/>
        </w:rPr>
        <w:t xml:space="preserve">stepped-up basis</w:t>
      </w:r>
      <w:r w:rsidDel="00000000" w:rsidR="00000000" w:rsidRPr="00000000">
        <w:rPr>
          <w:rtl w:val="0"/>
        </w:rPr>
        <w:t xml:space="preserve">: the cost basis is reset to the value at the date of death, eliminating the entire embedded capital gain. The original loan gets paid off from the estate. No income tax was ever paid on the gain. The full appreciation passes to the heirs untaxed.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strategy is specific to the US tax code. Jurisdictions with aggressive inheritance taxation (Germany, France, Japan, the UK partially) have materially weaker versions of the same dynamic, because the death event triggers tax rather than erasing it. In Russia, the dominant wealth-preservation strategy for the very rich looks completely different: hold assets abroad through nominees, accept the political-protection costs that come with cooperating with state-connected actors, and treat domestic Russian assets as instrumental rather than as the primary store of value. In Vietnam, where wealth concentration is lower and inheritance taxation is structured differently, the strategy is mostly inapplicable. The configuration described below is the US-specific version; the underlying principle (capital that can defer tax indefinitely compounds at near-zero tax cost) generalizes only where the local tax code permits.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ProPublica's 2021 investigation into IRS records made the US consequence concrete.[18] Comparing federal taxes paid against actual growth of net worth from 2014 to 2018, ProPublica calculated what they called "true tax rates":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The top 25 wealthiest Americans collectively saw wealth grow by $401 billion and paid $13.6 billion in federal income tax: a true tax rate of 3.4%.</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Warren Buffett's true tax rate over the same period was 0.1%.</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Jeff Bezos paid $1.4 billion on $127 billion of wealth growth: a true tax rate of 1.1%.</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Michael Bloomberg's true tax rate was 1.3%.</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Elon Musk paid no federal income tax in 2018.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methodological note that ProPublica itself flagged: the "true tax rate" denominator includes unrealized appreciation (asset value growth that has not been sold), which is not how US tax-rate calculations have historically been computed. Under current US tax law, unrealized gains are not taxed until realized. Critics of the framing argue the comparison is to a denominator that current law explicitly does not tax. The counter-argument is that the economic gain is real whether or not the tax code recognizes it, and the question is precisely whether the tax code's choice to ignore unrealized appreciation produces the wealth-concentration pattern documented above. Either way, the figures are what they are.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By comparison, an American household earning $50,000 to $100,000 a year typically pays a federal effective rate of 13 to 22% on its much smaller economic gains, all of which is realized income.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Nothing in the buy-borrow-die strategy is prosecutable as tax evasion. Each piece is defensible on its own. The effect: capital that has already accumulated compounds at near-zero tax cost while wages get taxed at current rates the year they are earned. Across a working life, that difference is most of what separates middle-class wealth-building from upper-class wealth-building, before any question of investment skill or business acumen enters the picture.</w:t>
      </w:r>
    </w:p>
    <w:p w:rsidR="00000000" w:rsidDel="00000000" w:rsidP="00000000" w:rsidRDefault="00000000" w:rsidRPr="00000000" w14:paraId="00000064">
      <w:pPr>
        <w:pStyle w:val="Heading3"/>
        <w:rPr/>
      </w:pPr>
      <w:bookmarkStart w:colFirst="0" w:colLast="0" w:name="_3gkbk595zuyg" w:id="8"/>
      <w:bookmarkEnd w:id="8"/>
      <w:r w:rsidDel="00000000" w:rsidR="00000000" w:rsidRPr="00000000">
        <w:rPr>
          <w:rtl w:val="0"/>
        </w:rPr>
        <w:t xml:space="preserve">4. Individual risk-bearing in retirement: the DB-to-DC migration and its generalization</w:t>
      </w:r>
    </w:p>
    <w:p w:rsidR="00000000" w:rsidDel="00000000" w:rsidP="00000000" w:rsidRDefault="00000000" w:rsidRPr="00000000" w14:paraId="00000065">
      <w:pPr>
        <w:rPr/>
      </w:pPr>
      <w:r w:rsidDel="00000000" w:rsidR="00000000" w:rsidRPr="00000000">
        <w:rPr>
          <w:rtl w:val="0"/>
        </w:rPr>
        <w:t xml:space="preserve">The fourth channel is </w:t>
      </w:r>
      <w:r w:rsidDel="00000000" w:rsidR="00000000" w:rsidRPr="00000000">
        <w:rPr>
          <w:i w:val="1"/>
          <w:iCs w:val="1"/>
          <w:rtl w:val="0"/>
        </w:rPr>
        <w:t xml:space="preserve">individual risk-bearing in retirement</w:t>
      </w:r>
      <w:r w:rsidDel="00000000" w:rsidR="00000000" w:rsidRPr="00000000">
        <w:rPr>
          <w:rtl w:val="0"/>
        </w:rPr>
        <w:t xml:space="preserve">. The principle is structural: who bears the market risk, longevity risk, and timing risk associated with retirement income. Two configurations exist in practice. Under </w:t>
      </w:r>
      <w:r w:rsidDel="00000000" w:rsidR="00000000" w:rsidRPr="00000000">
        <w:rPr>
          <w:i w:val="1"/>
          <w:iCs w:val="1"/>
          <w:rtl w:val="0"/>
        </w:rPr>
        <w:t xml:space="preserve">collective risk-bearing</w:t>
      </w:r>
      <w:r w:rsidDel="00000000" w:rsidR="00000000" w:rsidRPr="00000000">
        <w:rPr>
          <w:rtl w:val="0"/>
        </w:rPr>
        <w:t xml:space="preserve">, an employer (or in some systems, a state) promises a defined retirement income and absorbs the variance. Under </w:t>
      </w:r>
      <w:r w:rsidDel="00000000" w:rsidR="00000000" w:rsidRPr="00000000">
        <w:rPr>
          <w:i w:val="1"/>
          <w:iCs w:val="1"/>
          <w:rtl w:val="0"/>
        </w:rPr>
        <w:t xml:space="preserve">individual risk-bearing</w:t>
      </w:r>
      <w:r w:rsidDel="00000000" w:rsidR="00000000" w:rsidRPr="00000000">
        <w:rPr>
          <w:rtl w:val="0"/>
        </w:rPr>
        <w:t xml:space="preserve">, the worker carries all three risks on a personal account; at retirement, they have what the market has given them. The US shift from defined benefit (DB) to defined contribution (DC) plans since 1980 is the cleanest historical example of a society migrating workers from the first configuration to the second. But for most readers of this article, the destination point is the starting condition, not a transition.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Through the post-war period and into the 1980s, retirement in the US was structured as a </w:t>
      </w:r>
      <w:r w:rsidDel="00000000" w:rsidR="00000000" w:rsidRPr="00000000">
        <w:rPr>
          <w:i w:val="1"/>
          <w:iCs w:val="1"/>
          <w:rtl w:val="0"/>
        </w:rPr>
        <w:t xml:space="preserve">defined benefit</w:t>
      </w:r>
      <w:r w:rsidDel="00000000" w:rsidR="00000000" w:rsidRPr="00000000">
        <w:rPr>
          <w:rtl w:val="0"/>
        </w:rPr>
        <w:t xml:space="preserve"> arrangement. Your employer promised you a specific monthly payment for life starting at retirement, calculated as a function of your salary and years of service. The risk that this promise would be expensive to fulfill (market downturns, longevity, inflation) was carried by the employer. Starting in the early 1980s, US employers shifted en masse to </w:t>
      </w:r>
      <w:r w:rsidDel="00000000" w:rsidR="00000000" w:rsidRPr="00000000">
        <w:rPr>
          <w:i w:val="1"/>
          <w:iCs w:val="1"/>
          <w:rtl w:val="0"/>
        </w:rPr>
        <w:t xml:space="preserve">defined contribution</w:t>
      </w:r>
      <w:r w:rsidDel="00000000" w:rsidR="00000000" w:rsidRPr="00000000">
        <w:rPr>
          <w:rtl w:val="0"/>
        </w:rPr>
        <w:t xml:space="preserve"> plans, primarily the 401(k). The employer contributes a fixed amount (often a match) to your individual account. You pick the investments. You bear the market risk, the longevity risk (the risk that you live longer than your savings last), and the timing risk (whether the market crashes near your retirement date). At retirement, you have what you have, and if it is not enough, that is your problem.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 1980, around 38% of US private-sector workers participated in defined benefit pensions; by 2008 the share had fallen to 20%, and by March 2024 only 15% of private-industry workers had access to a DB plan at all.[19][20] Most remaining DB plans are concentrated in public-sector employment and unionized industries. (A note on the residual: many surviving DB plans, particularly state and municipal, are underfunded; the "insulation" of DB beneficiaries is partial and exposed to plan solvency.)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DB-to-DC shift was, paradigmatically, a move from collective risk-bearing to individual risk-bearing in retirement security. For US workers who lived through it, the shift is a discrete loss measurable against a prior arrangement. For workers outside that frame — the self-employed, expats, Vietnamese small-business owners, and the new global class of freelancers and founders — there was no prior arrangement to lose, because their working lives never included one. The individual-risk-bearing position that DB-to-DC migrates US workers toward is the default starting condition for most readers of this article. The channel describes their destination, not their transition.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That difference matters analytically. The DB-to-DC migration is the channel's clearest historical instance because the institutional change is documented, dated, and measurable. But the structural feature being described is broader: in any society where retirement security is increasingly carried by individual accounts rather than collective promises, the wealth-concentration consequence appears wherever participants vary in financial sophistication, fee exposure, behavioral discipline, and access to high-quality investment vehicles. The US case shows this empirically. For societies that never built a DB infrastructure (most of post-Soviet Russia, contemporary Vietnam, much of Southeast Asia for the informal majority), the same individual-risk-bearing logic is the default, just without the visible transition.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wealth-concentration consequence in the US, where the shift was operative, is twofold. First, the risk migration itself transfers value: when employers stop guaranteeing pensions, the long-term liability they used to carry on their balance sheets disappears, and the corresponding expected wealth either shows up as higher retained earnings (which flow to shareholders) or does not show up as worker compensation. Second, market exposure compounds inequality across DC plan participants: investment returns vary widely by financial sophistication, fee exposure, and behavioral discipline. Vanguard's </w:t>
      </w:r>
      <w:r w:rsidDel="00000000" w:rsidR="00000000" w:rsidRPr="00000000">
        <w:rPr>
          <w:i w:val="1"/>
          <w:iCs w:val="1"/>
          <w:rtl w:val="0"/>
        </w:rPr>
        <w:t xml:space="preserve">How America Saves 2025</w:t>
      </w:r>
      <w:r w:rsidDel="00000000" w:rsidR="00000000" w:rsidRPr="00000000">
        <w:rPr>
          <w:rtl w:val="0"/>
        </w:rPr>
        <w:t xml:space="preserve"> reports a median 401(k) balance of $95,425 for participants aged 65 and older.[21] At a standard 4% safe-withdrawal rate, that produces approximately $3,800 per year in retirement income, against a median household income before retirement of around $80,000.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cumulative redistribution from wage-earning households toward shareholders is substantial (decades of liabilities removed from corporate balance sheets, decades of market risk transferred to individual accounts), and it has occurred without a single decisive policy moment that public discourse could organize around. The gendered version of the same effect deserves naming: women experience defined contribution shortfalls at higher rates than men, because career interruptions for caregiving compress contribution years and amounts, and longer female life expectancy stretches the same balance over more retirement years. The migration is gender-neutral on paper and gendered in practice.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readers in self-employed, founder, or nomad positions: the underlying observation (individual risk-bearing for retirement) is the condition you are already operating in. Whether that condition is acceptable, optimal, or worth constructing private equivalents to — cross-border retirement accounts, equities-based personal pensions, productive business equity, real estate diversified across jurisdictions — is the practical question the channel raises but does not resolve.</w:t>
      </w:r>
    </w:p>
    <w:p w:rsidR="00000000" w:rsidDel="00000000" w:rsidP="00000000" w:rsidRDefault="00000000" w:rsidRPr="00000000" w14:paraId="00000074">
      <w:pPr>
        <w:pStyle w:val="Heading3"/>
        <w:rPr/>
      </w:pPr>
      <w:bookmarkStart w:colFirst="0" w:colLast="0" w:name="_y81xabrutghp" w:id="9"/>
      <w:bookmarkEnd w:id="9"/>
      <w:r w:rsidDel="00000000" w:rsidR="00000000" w:rsidRPr="00000000">
        <w:rPr>
          <w:rtl w:val="0"/>
        </w:rPr>
        <w:t xml:space="preserve">5. Buybacks: the corporate transfer mechanism</w:t>
      </w:r>
    </w:p>
    <w:p w:rsidR="00000000" w:rsidDel="00000000" w:rsidP="00000000" w:rsidRDefault="00000000" w:rsidRPr="00000000" w14:paraId="00000075">
      <w:pPr>
        <w:rPr/>
      </w:pPr>
      <w:r w:rsidDel="00000000" w:rsidR="00000000" w:rsidRPr="00000000">
        <w:rPr>
          <w:rtl w:val="0"/>
        </w:rPr>
        <w:t xml:space="preserve">The fifth structural piece is corporate share buybacks, a US-centric channel with global capital-market implications.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buyback is when a public company uses its cash to repurchase its own shares from the market, reducing the number of shares outstanding and thereby increasing the per-share value of the remaining shares. Functionally, it is a way for the corporation to deliver value to its shareholders without paying a dividend. Until 1982, open-market buybacks lived in legal grey territory and were treated by the SEC as potentially manipulative. SEC Rule 10b-18, adopted in November 1982, gave companies a </w:t>
      </w:r>
      <w:r w:rsidDel="00000000" w:rsidR="00000000" w:rsidRPr="00000000">
        <w:rPr>
          <w:i w:val="1"/>
          <w:iCs w:val="1"/>
          <w:rtl w:val="0"/>
        </w:rPr>
        <w:t xml:space="preserve">safe harbor</w:t>
      </w:r>
      <w:r w:rsidDel="00000000" w:rsidR="00000000" w:rsidRPr="00000000">
        <w:rPr>
          <w:rtl w:val="0"/>
        </w:rPr>
        <w:t xml:space="preserve">. The rule cleared a legal path; it was permissive infrastructure, not the prime mover. Buybacks grew from a marginal practice to one of the dominant uses of US corporate cash, driven by the 1980s-90s shift to executive equity compensation (which created an incentive to support share price), the relative tax efficiency vs. dividends, and changes in capital allocation theory.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scale is enormous. S&amp;P 500 companies spent approximately $1.572 trillion on share buybacks and dividends combined in 2024.[22] The pace accelerated through 2025: Q1 2025 alone set a quarterly buyback record at $293.5 billion, and total shareholder returns (buybacks plus dividends) for the 12-month period ending September 2025 reached a record $1.685 trillion. Cumulative S&amp;P 500 buybacks since 2009 now approach $8 trillion, with the technology sector accounting for a large share.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structural significance for the inequality picture is this: a buyback is a mechanism that converts a specific company's operating cash flow into shareholder wealth growth without passing through the wage column or the corporate investment column. The cash does not vanish from the economy; it goes to shareholders, who may redeploy it into other assets, capital investments, or new ventures. But the specific link between </w:t>
      </w:r>
      <w:r w:rsidDel="00000000" w:rsidR="00000000" w:rsidRPr="00000000">
        <w:rPr>
          <w:i w:val="1"/>
          <w:iCs w:val="1"/>
          <w:rtl w:val="0"/>
        </w:rPr>
        <w:t xml:space="preserve">that company's</w:t>
      </w:r>
      <w:r w:rsidDel="00000000" w:rsidR="00000000" w:rsidRPr="00000000">
        <w:rPr>
          <w:rtl w:val="0"/>
        </w:rPr>
        <w:t xml:space="preserve"> operating performance and </w:t>
      </w:r>
      <w:r w:rsidDel="00000000" w:rsidR="00000000" w:rsidRPr="00000000">
        <w:rPr>
          <w:i w:val="1"/>
          <w:iCs w:val="1"/>
          <w:rtl w:val="0"/>
        </w:rPr>
        <w:t xml:space="preserve">its own</w:t>
      </w:r>
      <w:r w:rsidDel="00000000" w:rsidR="00000000" w:rsidRPr="00000000">
        <w:rPr>
          <w:rtl w:val="0"/>
        </w:rPr>
        <w:t xml:space="preserve"> worker compensation is severed. The mechanism does not destroy value; it routes it.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William Lazonick documented at length in </w:t>
      </w:r>
      <w:r w:rsidDel="00000000" w:rsidR="00000000" w:rsidRPr="00000000">
        <w:rPr>
          <w:i w:val="1"/>
          <w:iCs w:val="1"/>
          <w:rtl w:val="0"/>
        </w:rPr>
        <w:t xml:space="preserve">Profits Without Prosperity</w:t>
      </w:r>
      <w:r w:rsidDel="00000000" w:rsidR="00000000" w:rsidRPr="00000000">
        <w:rPr>
          <w:rtl w:val="0"/>
        </w:rPr>
        <w:t xml:space="preserve"> (Harvard Business Review, 2014) and subsequent work that companies have been spending unprecedented sums on buybacks in periods when they were also raising prices, suppressing wages, and laying off workers.[23] Lazonick traces the pattern to the same 1982-onward shift in executive compensation that aligned managerial incentives with share price; once buybacks could mechanically lift earnings per share, deploying cash to repurchase rather than to wages or R&amp;D became, for many large-cap public companies, the rational managerial choice.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global capital-market implication: ownership of those US shareholder-wealth flows is concentrated geographically and demographically. The top 10% of US households owned 87% of corporate equities and mutual fund shares as of Q2 2025, with the top 1% alone holding 50% of the stock market.[24] Foreign holdings (sovereign wealth funds, foreign institutional investors, foreign individual investors) capture another large share. Vietnamese household equity ownership in US stocks is negligible. Russian foreign-equity ownership has been largely sanctioned out of the legal system since 2022. The buyback transfer goes to a concentrated, mostly US-resident shareholder base, with a global capital-market overlay that does not include the wage-earning middle in most non-US countries.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xst19lg5yr1s" w:id="10"/>
      <w:bookmarkEnd w:id="10"/>
      <w:r w:rsidDel="00000000" w:rsidR="00000000" w:rsidRPr="00000000">
        <w:rPr>
          <w:rtl w:val="0"/>
        </w:rPr>
        <w:t xml:space="preserve">The political feedback loop</w:t>
      </w:r>
    </w:p>
    <w:p w:rsidR="00000000" w:rsidDel="00000000" w:rsidP="00000000" w:rsidRDefault="00000000" w:rsidRPr="00000000" w14:paraId="00000083">
      <w:pPr>
        <w:rPr/>
      </w:pPr>
      <w:r w:rsidDel="00000000" w:rsidR="00000000" w:rsidRPr="00000000">
        <w:rPr>
          <w:rtl w:val="0"/>
        </w:rPr>
        <w:t xml:space="preserve">The channels above describe how concentrated wealth grows. They do not describe why the conditions persist over decades, even as their distributional consequences become increasingly visible. The answer is that wealth concentration tends to produce a form of political concentration that defends the conditions producing it. This is a connecting beat between the structural picture and the question of why standard answers persist as mainstream advice: individual answers cannot change the political configuration that produces the channels.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is not a conspiracy claim. It is an observation about how political systems with concentrated economic power respond to redistributive pressure. The pattern is most empirically documented in the US, but parallel dynamics are visible in Russia (where post-2022 oligarch reshuffling further concentrated political-economic power around state-connected family networks),[25] Thailand (where land-owning elites have shaped property law for decades), and to a lesser extent in Vietnam and China where the political configuration is different but the concentration of economic decision-making among connected actors is comparable.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Adam Bonica's Database on Ideology, Money in Politics, and Elections at Stanford has tracked the contribution records of US political donors since 1979. Analysis of the data shows a small fraction of donors accounting for a disproportionate share of itemized contributions to federal candidates.[26] The Sunlight Foundation's "one percent of one percent" analysis of the 2012 election cycle (the organization has since shut down; the data remains valid as historical record) found that approximately 31,000 individuals (less than 0.01% of the US population) contributed roughly 28% of all traceable money in federal elections.[27] More recent cycles show similar concentration with the share growing rather than shrinking. Whether this concentration translates into policy outcomes has been contested. Martin Gilens and Benjamin Page's 2014 analysis of 1,779 federal policy issues between 1981 and 2002 concluded that economic elites and organized business-interest groups had substantial independent influence on US policy outcomes, while average citizens and mass-based interest groups had little to no independent influence.[28] Omar Bashir's 2015 reanalysis argued the original method underestimated middle-percentile influence.[29] The directional finding survives the methodological dispute: concentrated economic power produces disproportionate political weight.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mechanisms through which influence flows are also empirically grounded. Open Secrets data documents tens of billions of dollars in annual federal lobbying spending, concentrated in industries with high regulatory exposure. The agencies that set the rules for the financial sector (SEC, Fed, Treasury) draw their senior staff disproportionately from and back to the financial sector, a pattern documented in Hacker and Pierson's </w:t>
      </w:r>
      <w:r w:rsidDel="00000000" w:rsidR="00000000" w:rsidRPr="00000000">
        <w:rPr>
          <w:i w:val="1"/>
          <w:iCs w:val="1"/>
          <w:rtl w:val="0"/>
        </w:rPr>
        <w:t xml:space="preserve">Winner-Take-All Politics</w:t>
      </w:r>
      <w:r w:rsidDel="00000000" w:rsidR="00000000" w:rsidRPr="00000000">
        <w:rPr>
          <w:rtl w:val="0"/>
        </w:rPr>
        <w:t xml:space="preserve"> (2010). A subtler version operates in narrative production. Universities, think tanks, and major media outlets are themselves largely funded by concentrated wealth. The Brookings Institution and the American Enterprise Institute both depend heavily on corporate and wealthy-individual donations, as visible in their publicly available IRS Form 990 filings. Heterodox positions on inequality (worker cooperatives, sovereign wealth funds, land value taxation, more aggressive estate taxation) face a steeper path to mainstream legitimacy than positions that defend the current configuration.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directional finding holds: concentrated economic power produces disproportionate political weight, which tends to defend the conditions producing the wealth concentration. The aggregate effect is an institutional drag on redistributive change. Once the dynamic is running, breaking it generally requires either an external shock (war, pandemic, economic crisis severe enough to produce political realignment) or sustained political mobilization at a scale that dwarfs ordinary politics. Article 2 will return to which historical episodes have actually produced redistribution.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veu32jckt0ct" w:id="11"/>
      <w:bookmarkEnd w:id="11"/>
      <w:r w:rsidDel="00000000" w:rsidR="00000000" w:rsidRPr="00000000">
        <w:rPr>
          <w:rtl w:val="0"/>
        </w:rPr>
        <w:t xml:space="preserve">Why the standard answers stopped working</w:t>
      </w:r>
    </w:p>
    <w:p w:rsidR="00000000" w:rsidDel="00000000" w:rsidP="00000000" w:rsidRDefault="00000000" w:rsidRPr="00000000" w14:paraId="0000008F">
      <w:pPr>
        <w:rPr/>
      </w:pPr>
      <w:r w:rsidDel="00000000" w:rsidR="00000000" w:rsidRPr="00000000">
        <w:rPr>
          <w:rtl w:val="0"/>
        </w:rPr>
        <w:t xml:space="preserve">The standard answers that financial advisors and mainstream economic discourse have reached for since the 1980s (get a degree, save and invest, find an alternative system) are showing wear in specific ways.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Education was the equalizer. Now it isn't, cleanly.</w:t>
      </w:r>
      <w:r w:rsidDel="00000000" w:rsidR="00000000" w:rsidRPr="00000000">
        <w:rPr>
          <w:rtl w:val="0"/>
        </w:rPr>
        <w:t xml:space="preserve"> The college wage premium still exists statistically, but its net value (after the cost of acquiring the degree) has compressed sharply for a large share of graduates. The sticker price of a four-year US public college rose from $7,841 in 1990 to $21,558 by 2020 in real terms, a 175% increase over 30 years.[30] Total US student loan debt stood at approximately $1.84 trillion as of Q4 2025.[31][32] The same dynamic is visible in different shapes globally: Vietnamese parents pay heavily for international-pattern education that often pulls graduates into Western employment markets, draining domestic talent (a pattern I documented in </w:t>
      </w:r>
      <w:r w:rsidDel="00000000" w:rsidR="00000000" w:rsidRPr="00000000">
        <w:rPr>
          <w:i w:val="1"/>
          <w:iCs w:val="1"/>
          <w:rtl w:val="0"/>
        </w:rPr>
        <w:t xml:space="preserve">AI Is the Greatest Productivity Tool If You Can Afford It</w:t>
      </w:r>
      <w:r w:rsidDel="00000000" w:rsidR="00000000" w:rsidRPr="00000000">
        <w:rPr>
          <w:rtl w:val="0"/>
        </w:rPr>
        <w:t xml:space="preserve">, my earlier essay on global AI access).[33] Russian higher education has been largely disconnected from international academia post-2022. The standard answer ("get a degree, work hard, you will be fine") was descriptively true for a particular Western post-war window that has now largely closed.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"Just invest" assumes you have something to invest.</w:t>
      </w:r>
      <w:r w:rsidDel="00000000" w:rsidR="00000000" w:rsidRPr="00000000">
        <w:rPr>
          <w:rtl w:val="0"/>
        </w:rPr>
        <w:t xml:space="preserve"> A household contributing 10 to 15% of income to a diversified equity portfolio over 30+ years ends up with significant accumulated wealth in most historical periods. The problem is empirical. The Federal Reserve's </w:t>
      </w:r>
      <w:r w:rsidDel="00000000" w:rsidR="00000000" w:rsidRPr="00000000">
        <w:rPr>
          <w:i w:val="1"/>
          <w:iCs w:val="1"/>
          <w:rtl w:val="0"/>
        </w:rPr>
        <w:t xml:space="preserve">Survey of Household Economics and Decisionmaking</w:t>
      </w:r>
      <w:r w:rsidDel="00000000" w:rsidR="00000000" w:rsidRPr="00000000">
        <w:rPr>
          <w:rtl w:val="0"/>
        </w:rPr>
        <w:t xml:space="preserve"> (SHED, 2024) reported that 63% of US adults could cover a hypothetical $400 emergency expense exclusively from cash, savings, or a credit card paid off the next statement; the other 37% could not without borrowing or selling.[34] In Vietnam, average monthly household income per capita was approximately $213 in 2024, with rural-urban and ethnic gradients overlaid.[35] The mathematical advice scales differently when the income base differs by an order of magnitude.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Crypto was supposed to be the workaround. It wasn't.</w:t>
      </w:r>
      <w:r w:rsidDel="00000000" w:rsidR="00000000" w:rsidRPr="00000000">
        <w:rPr>
          <w:rtl w:val="0"/>
        </w:rPr>
        <w:t xml:space="preserve"> The early Bitcoin thesis framed cryptocurrency as a tool for distributing financial agency away from gatekeeping institutions toward individuals. Glassnode's entity-level analysis estimates that approximately 2% of network entities control roughly 71% of Bitcoin supply.[36] Bitcoin ownership is more concentrated than US dollar wealth, not less. Some genuine uses remain in jurisdictions with capital controls, currency instability, or weak banking infrastructure (Russia post-2022, Argentina, Nigeria, Venezuela, parts of Southeast Asia), where stablecoins offer real financial agency the local system does not provide. That is not nothing. But the original framing of crypto as a structural equalizer has not been borne out.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xqzzqtsz5gnc" w:id="12"/>
      <w:bookmarkEnd w:id="12"/>
      <w:r w:rsidDel="00000000" w:rsidR="00000000" w:rsidRPr="00000000">
        <w:rPr>
          <w:rtl w:val="0"/>
        </w:rPr>
        <w:t xml:space="preserve">The newest accelerator</w:t>
      </w:r>
    </w:p>
    <w:p w:rsidR="00000000" w:rsidDel="00000000" w:rsidP="00000000" w:rsidRDefault="00000000" w:rsidRPr="00000000" w14:paraId="00000099">
      <w:pPr>
        <w:rPr/>
      </w:pPr>
      <w:r w:rsidDel="00000000" w:rsidR="00000000" w:rsidRPr="00000000">
        <w:rPr>
          <w:rtl w:val="0"/>
        </w:rPr>
        <w:t xml:space="preserve">The most recent layer is AI. Stanford's AI Index Report 2026 reports US private investment in AI reached $285.9 billion in 2025, more than 23 times China's $12.4 billion, with industry producing over 90% of notable frontier models that year.[37] The capital required to participate at the frontier (data centers, frontier-lab compute clusters, vertically integrated chip supply) sits firmly outside reach for everyone but a handful of well-capitalized firms and their backers.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This pattern fits Carlota Perez's framework in </w:t>
      </w:r>
      <w:r w:rsidDel="00000000" w:rsidR="00000000" w:rsidRPr="00000000">
        <w:rPr>
          <w:i w:val="1"/>
          <w:iCs w:val="1"/>
          <w:rtl w:val="0"/>
        </w:rPr>
        <w:t xml:space="preserve">Technological Revolutions and Financial Capital</w:t>
      </w:r>
      <w:r w:rsidDel="00000000" w:rsidR="00000000" w:rsidRPr="00000000">
        <w:rPr>
          <w:rtl w:val="0"/>
        </w:rPr>
        <w:t xml:space="preserve"> (2002): each wave of capital-intensive technological change concentrates rents at the layer that owns the substrate before mature productivity gains diffuse more broadly.[38] Acemoglu and Johnson's </w:t>
      </w:r>
      <w:r w:rsidDel="00000000" w:rsidR="00000000" w:rsidRPr="00000000">
        <w:rPr>
          <w:i w:val="1"/>
          <w:iCs w:val="1"/>
          <w:rtl w:val="0"/>
        </w:rPr>
        <w:t xml:space="preserve">Power and Progress</w:t>
      </w:r>
      <w:r w:rsidDel="00000000" w:rsidR="00000000" w:rsidRPr="00000000">
        <w:rPr>
          <w:rtl w:val="0"/>
        </w:rPr>
        <w:t xml:space="preserve"> (2023) extends the argument with explicit attention to AI: the distributional consequences of new technology are not pre-determined but depend on which institutional choices are made.[9]</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How AI capital concentration maps onto the channels above is worth being explicit about. It does not introduce a sixth mechanism so much as it amplifies two of the five already described. </w:t>
      </w:r>
      <w:r w:rsidDel="00000000" w:rsidR="00000000" w:rsidRPr="00000000">
        <w:rPr>
          <w:b w:val="1"/>
          <w:bCs w:val="1"/>
          <w:rtl w:val="0"/>
        </w:rPr>
        <w:t xml:space="preserve">Through Channel 1 (monetary policy)</w:t>
      </w:r>
      <w:r w:rsidDel="00000000" w:rsidR="00000000" w:rsidRPr="00000000">
        <w:rPr>
          <w:rtl w:val="0"/>
        </w:rPr>
        <w:t xml:space="preserve">, the 2008-2022 era of near-zero rates and quantitative easing produced exactly the kind of capital environment in which AI build-out becomes possible: a small number of firms with cash flow plus equity access can deploy tens of billions per year on data centers, chip supply, and frontier-lab compute. The same cheap-money window that inflated housing and equity prices funded the capex that the AI frontier now requires. Even as rates rose from 2022, the largest AI builders are funding their build-out from accumulated cash and equity issuance whose valuation rests on the prior decade of low-rate asset inflation. The AI capex story sits structurally downstream of monetary policy. </w:t>
      </w:r>
      <w:r w:rsidDel="00000000" w:rsidR="00000000" w:rsidRPr="00000000">
        <w:rPr>
          <w:b w:val="1"/>
          <w:bCs w:val="1"/>
          <w:rtl w:val="0"/>
        </w:rPr>
        <w:t xml:space="preserve">Through Channel 5 (buybacks)</w:t>
      </w:r>
      <w:r w:rsidDel="00000000" w:rsidR="00000000" w:rsidRPr="00000000">
        <w:rPr>
          <w:rtl w:val="0"/>
        </w:rPr>
        <w:t xml:space="preserve">, AI productivity gains, when they materialize, flow first to corporate margins, then to shareholder distributions through buybacks and dividends, rather than to broad-based wage increases. If AI compresses headcount in cognitive-work categories (a question on which the evidence is still developing, but the directional signal exists), the labor-cost savings show up in operating income; companies with established buyback programs have well-developed channels to convert that operating income into share-price appreciation that benefits the concentrated equity-owning base described in Channel 5. The AI investment cycle and the AI productivity-gain capture both pass through the same wealth-concentration plumbing. They do not require new plumbing.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How AI plays out specifically for individual practitioners and labor markets I have explored at length in three other essays on this site, and the work above stands on rather than repeats them: </w:t>
      </w:r>
      <w:r w:rsidDel="00000000" w:rsidR="00000000" w:rsidRPr="00000000">
        <w:rPr>
          <w:i w:val="1"/>
          <w:iCs w:val="1"/>
          <w:rtl w:val="0"/>
        </w:rPr>
        <w:t xml:space="preserve">AI Is the Greatest Productivity Tool If You Can Afford It</w:t>
      </w:r>
      <w:r w:rsidDel="00000000" w:rsidR="00000000" w:rsidRPr="00000000">
        <w:rPr>
          <w:rtl w:val="0"/>
        </w:rPr>
        <w:t xml:space="preserve"> (April 2026) on capital access and the global inequality dimension, </w:t>
      </w:r>
      <w:r w:rsidDel="00000000" w:rsidR="00000000" w:rsidRPr="00000000">
        <w:rPr>
          <w:i w:val="1"/>
          <w:iCs w:val="1"/>
          <w:rtl w:val="0"/>
        </w:rPr>
        <w:t xml:space="preserve">The AI Productivity Paradox</w:t>
      </w:r>
      <w:r w:rsidDel="00000000" w:rsidR="00000000" w:rsidRPr="00000000">
        <w:rPr>
          <w:rtl w:val="0"/>
        </w:rPr>
        <w:t xml:space="preserve"> (April 2026) on why productivity gains leak away from workers using AI in commodity cognitive work, and </w:t>
      </w:r>
      <w:r w:rsidDel="00000000" w:rsidR="00000000" w:rsidRPr="00000000">
        <w:rPr>
          <w:i w:val="1"/>
          <w:iCs w:val="1"/>
          <w:rtl w:val="0"/>
        </w:rPr>
        <w:t xml:space="preserve">The AI Trade: Winners, Losers, and Defensible Ground</w:t>
      </w:r>
      <w:r w:rsidDel="00000000" w:rsidR="00000000" w:rsidRPr="00000000">
        <w:rPr>
          <w:rtl w:val="0"/>
        </w:rPr>
        <w:t xml:space="preserve"> (May 2026) on the four zones of defensible practice.[33][39][40]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AI does not change the structural picture. It accelerates the wealth-concentration channels already in place — most directly the cheap-money capex channel and the corporate-buyback distribution channel. The shape of the trade is unchanged.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i4yv0rronpf4" w:id="13"/>
      <w:bookmarkEnd w:id="13"/>
      <w:r w:rsidDel="00000000" w:rsidR="00000000" w:rsidRPr="00000000">
        <w:rPr>
          <w:rtl w:val="0"/>
        </w:rPr>
        <w:t xml:space="preserve">What I noticed putting this together</w:t>
      </w:r>
    </w:p>
    <w:p w:rsidR="00000000" w:rsidDel="00000000" w:rsidP="00000000" w:rsidRDefault="00000000" w:rsidRPr="00000000" w14:paraId="000000A5">
      <w:pPr>
        <w:rPr/>
      </w:pPr>
      <w:r w:rsidDel="00000000" w:rsidR="00000000" w:rsidRPr="00000000">
        <w:rPr>
          <w:rtl w:val="0"/>
        </w:rPr>
        <w:t xml:space="preserve">Three observations emerged from working with these channels as a single picture rather than reading about them one at a time.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Asymmetric risk-reward transfer (in some channels, compensation for risk in others).</w:t>
      </w:r>
      <w:r w:rsidDel="00000000" w:rsidR="00000000" w:rsidRPr="00000000">
        <w:rPr>
          <w:rtl w:val="0"/>
        </w:rPr>
        <w:t xml:space="preserve"> Each of the five channels has a structural signature of </w:t>
      </w:r>
      <w:r w:rsidDel="00000000" w:rsidR="00000000" w:rsidRPr="00000000">
        <w:rPr>
          <w:i w:val="1"/>
          <w:iCs w:val="1"/>
          <w:rtl w:val="0"/>
        </w:rPr>
        <w:t xml:space="preserve">risk moves down, reward moves up</w:t>
      </w:r>
      <w:r w:rsidDel="00000000" w:rsidR="00000000" w:rsidRPr="00000000">
        <w:rPr>
          <w:rtl w:val="0"/>
        </w:rPr>
        <w:t xml:space="preserve">. QE protects asset holders from recession risk and inflates the prices of the assets they hold. Housing finance privileges existing owners with leverage and tax exclusion while pricing new entrants out. Buy-borrow-die lets the top 0.1% defer or eliminate tax liability that wage earners cannot defer. The DB-to-DC shift moved retirement risk from employer balance sheets to individual accounts. Buybacks let corporate cash flow bypass the wage column and arrive directly at shareholders.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 neoclassical reading frames the same pattern differently: capital bears more downside risk than wage labor (capital can be wiped out; wages, while they can fall or stop, do not invert into liabilities), and higher returns to capital in normal years are compensation for that asymmetric risk exposure. This counter-frame has empirical merit, particularly for the founder-class and small-business segments where capital genuinely is at risk (something I write about often, having lived on the founder side of this for a decade). Where it is less convincing is for the buy-borrow-die channel specifically, where the structure of the tax code converts what should be a real risk-bearing role into a near-riskless arbitrage, and for the QE-era housing channel, where the central bank's implicit floor under asset prices removed the downside risk that was supposed to justify the upside compensation. The honest summary is that the pattern can be both "compensation for risk" for some channels (founder equity, genuine business ownership) and "asymmetric transfer" for others (buy-borrow-die, QE-housing). The five channels weight, in my reading, toward the latter, but a serious neoclassical reading weighs them differently and that disagreement is not resolvable from the data alone.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The post-1978 institutional cascade was specific to the US.</w:t>
      </w:r>
      <w:r w:rsidDel="00000000" w:rsidR="00000000" w:rsidRPr="00000000">
        <w:rPr>
          <w:rtl w:val="0"/>
        </w:rPr>
        <w:t xml:space="preserve"> When you trace the legal and policy origins of channels 4 and 5, an unusually concentrated time window emerges between 1978 and 1982. The 401(k) provision was added in 1978. The Reagan-era marginal tax rate cuts began in 1981. SEC Rule 10b-18 (the buybacks safe harbor) was adopted in November 1982. The Garn-St. Germain Act on savings and loan reform passed the same year. None was framed at the time as an inequality measure. Each was sold on its own technical merits. Forty-five years later, their joint effect is the US wealth distribution this article describes. Russia's 1990s privatizations followed a different cascade. China's reform-era institutional choices followed a third. Vietnam's Đổi Mới reforms started in 1986 and have produced a markedly different distribution. The cascade is not a universal pattern; it is a specific institutional history that produced a specific outcome in the country where it happened.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counter-reading of that cascade worth taking seriously, drawing on the public-choice tradition associated with Mancur Olson and others, is that the 1978-1982 changes were not gifts from elites to elites but corrections to a prior institutional configuration that had broken on its own terms. The 1970s context included stagflation, underfunded corporate pensions whose accounting had been hiding liabilities for years, the unwinding of Bretton Woods, the collapse of US manufacturing competitiveness against revived German and Japanese industry, and a generation of public-sector unions whose wage settlements had outrun productivity in many municipalities. Under this reading, the 401(k) provision was a response to actual pension insolvencies (and produced a more transparent, if individually riskier, retirement system); the Reagan tax cuts were a response to bracket creep eating real wages under inflation; Rule 10b-18 was a response to legal uncertainty that had been chilling legitimate corporate cash management for two decades. The institutional cascade was real, but it was responsive to a prior arrangement that had already failed, not invented to enrich an unforced winner. This article does not adopt that reading, but it should be on the table: the cascade did not occur in a vacuum, and many of its individual components had real efficiency justifications at the time. What the cascade did not do, and what the public-choice reading is least able to explain on its own terms, is correct course as its distributional consequences became visible. That second question is the one the article's political-feedback-loop section is trying to answer.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Standard answers as structural fits, not solutions.</w:t>
      </w:r>
      <w:r w:rsidDel="00000000" w:rsidR="00000000" w:rsidRPr="00000000">
        <w:rPr>
          <w:rtl w:val="0"/>
        </w:rPr>
        <w:t xml:space="preserve"> All three of the standard answers (education, invest, crypto) require, as a precondition, that the recipient already stand on the favorable side of the imbalances the channels produced. Education requires capital or debt acquisition. Investing requires budgetary slack. Crypto required the technical and financial sophistication to acquire it early. This is structural fit, not stated intent: solutions that require the recipient to already occupy a favorable position cannot meaningfully redistribute. They can help individuals on the favorable side compound their advantage. They cannot do the work that policy changes to the underlying channels would do. This is observably true across the geographies covered: the same advice produces wildly different outcomes when applied to a US software engineer, a Russian expat in Bangkok, a Vietnamese small-business owner, a Thai farmer, or a Chinese new-middle-class household. The advice scales with the existing position.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r67kre3ssdl" w:id="14"/>
      <w:bookmarkEnd w:id="14"/>
      <w:r w:rsidDel="00000000" w:rsidR="00000000" w:rsidRPr="00000000">
        <w:rPr>
          <w:rtl w:val="0"/>
        </w:rPr>
        <w:t xml:space="preserve">Owning vs earning, in 2026</w:t>
      </w:r>
    </w:p>
    <w:p w:rsidR="00000000" w:rsidDel="00000000" w:rsidP="00000000" w:rsidRDefault="00000000" w:rsidRPr="00000000" w14:paraId="000000B3">
      <w:pPr>
        <w:rPr/>
      </w:pPr>
      <w:r w:rsidDel="00000000" w:rsidR="00000000" w:rsidRPr="00000000">
        <w:rPr>
          <w:rtl w:val="0"/>
        </w:rPr>
        <w:t xml:space="preserve">The structural picture has a practical implication. Through the post-war period, </w:t>
      </w:r>
      <w:r w:rsidDel="00000000" w:rsidR="00000000" w:rsidRPr="00000000">
        <w:rPr>
          <w:i w:val="1"/>
          <w:iCs w:val="1"/>
          <w:rtl w:val="0"/>
        </w:rPr>
        <w:t xml:space="preserve">earning</w:t>
      </w:r>
      <w:r w:rsidDel="00000000" w:rsidR="00000000" w:rsidRPr="00000000">
        <w:rPr>
          <w:rtl w:val="0"/>
        </w:rPr>
        <w:t xml:space="preserve"> (working a salaried job, building professional capital, saving and investing prudently) was a reliable path to building durable household wealth in the wealthy democracies. The wage path was the wealth path. Through the period since roughly 1980, those two paths have visibly diverged. </w:t>
      </w:r>
      <w:r w:rsidDel="00000000" w:rsidR="00000000" w:rsidRPr="00000000">
        <w:rPr>
          <w:i w:val="1"/>
          <w:iCs w:val="1"/>
          <w:rtl w:val="0"/>
        </w:rPr>
        <w:t xml:space="preserve">Owning</w:t>
      </w:r>
      <w:r w:rsidDel="00000000" w:rsidR="00000000" w:rsidRPr="00000000">
        <w:rPr>
          <w:rtl w:val="0"/>
        </w:rPr>
        <w:t xml:space="preserve"> (housing, equities, productive businesses, intellectual property, equity in companies) does most of the wealth-building work that wages used to do.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note on what the article has underweighted. Many middle-class households, especially in the 60th to 90th percentiles, build wealth primarily through a channel that the article's data-driven structure has not centered: closely held business equity, professional partnerships, private practice ownership, franchise operations, and similar small-business paths. These ownership forms straddle the line between earning and owning (a small-business owner is doing both at once) and they complicate the binary the rest of the article uses. The structural mechanics still apply (a business is a capital asset that compounds), but the entry conditions are different. This is the segment many self-reliant nomads, expats, and founders occupy. Vietnam's e-commerce SMEs, Thai family businesses, Russian post-2022 entrepreneurs in adjacent countries, and the global remote-work freelance class all sit somewhere on this spectrum.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Owning carries real risk; small-business failure rates in the US are roughly 50% within five years per Bureau of Labor Statistics Business Employment Dynamics data, and the equivalent rate for SMEs in developing economies is similar or higher. The asymmetry between visible wins and invisible failures distorts how the path looks in popular accounts.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But the structural shift means the two paths are not running on the same trajectory anymore. Wages compound at one rate. Capital compounds at a different, generally higher rate. A working life devoted entirely to wages, in 2026, accumulates measurably less wealth than the same working life would have in 1980 in countries where this analysis applies most directly.</w:t>
      </w:r>
    </w:p>
    <w:p w:rsidR="00000000" w:rsidDel="00000000" w:rsidP="00000000" w:rsidRDefault="00000000" w:rsidRPr="00000000" w14:paraId="000000BA">
      <w:pPr>
        <w:pStyle w:val="Heading3"/>
        <w:rPr/>
      </w:pPr>
      <w:bookmarkStart w:colFirst="0" w:colLast="0" w:name="_ymqvmoty6e5" w:id="15"/>
      <w:bookmarkEnd w:id="15"/>
      <w:r w:rsidDel="00000000" w:rsidR="00000000" w:rsidRPr="00000000">
        <w:rPr>
          <w:rtl w:val="0"/>
        </w:rPr>
        <w:t xml:space="preserve">What about the top decile of wage earners?</w:t>
      </w:r>
    </w:p>
    <w:p w:rsidR="00000000" w:rsidDel="00000000" w:rsidP="00000000" w:rsidRDefault="00000000" w:rsidRPr="00000000" w14:paraId="000000BB">
      <w:pPr>
        <w:rPr/>
      </w:pPr>
      <w:r w:rsidDel="00000000" w:rsidR="00000000" w:rsidRPr="00000000">
        <w:rPr>
          <w:rtl w:val="0"/>
        </w:rPr>
        <w:t xml:space="preserve">A reasonable objection lives here. What about the Tesla engineer with $400,000 total compensation, the New York lawyer at $250,000, the Bay Area software engineer watching the Case-Shiller index from inside a paid-off house? These people work for a living, earn high incomes, and seem to be doing well. Does the wage-versus-capital divergence really apply to them?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Yes, but in a way the article should make explicit rather than leave to inference. Three cases worth distinguishing.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The tech equity case.</w:t>
      </w:r>
      <w:r w:rsidDel="00000000" w:rsidR="00000000" w:rsidRPr="00000000">
        <w:rPr>
          <w:rtl w:val="0"/>
        </w:rPr>
        <w:t xml:space="preserve"> A senior software engineer at Meta, Google, or Tesla at the L5-L6 (or E5-E6 at Meta) level in 2025-2026 typically has total compensation between $350,000 and $750,000, depending on level and performance. As of December 2025 per Levels.fyi data (self-reported by users, biased toward higher-end disclosures), the median Google L5 software engineer earned $409,908 in total compensation; L6 median was $598,251. At Meta, median E5 totals ran $351K to $503K and E6 ran $497K to $775K.[47] But the breakdown matters more than the headline. Base salary at these levels typically runs $180,000 to $250,000. The rest is restricted stock units (RSUs) vesting over four years, plus a cash bonus. RSUs are not wages. They are capital. A Meta engineer who joined in 2014 and held vested shares throughout is wealthy because Meta stock rose roughly 8x in eleven years, not because the salary line on the paycheck did anything unusual. The "joined and held" path is a heavily selected outcome: engineers who sold-to-cover for a house in 2018, diversified at $90 during the 2022 trough, or left for a startup that did not work out tell different stories. The structural claim holds for the surviving cohort but the variance across the wider cohort is wide. This is the article's thesis in concentrated form for the survivors: the capital component does the wealth-building work; the wage component covers current expenses. The tech engineer is structurally a hybrid, half wage worker, half capital owner, and the wealth that accumulates does so through the capital half.</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RSUs come with downside that pure wages do not. When tech companies execute mass layoffs, employees lose their unvested RSUs entirely. The cycles have not been small: rough orders of magnitude from major trackers indicate roughly 200,000 US tech jobs cut in 2023, around 95,000 in 2024, approximately 127,000 in 2025, with 2026 tracking similarly (individual trackers differ in scope and can vary by 30-50% on any specific year).[48] The capital component that builds wealth on the way up evaporates on the way out. This is exactly the asymmetric risk-bearing the obligation section discussed: capital genuinely is at risk in a way wages are not. The neoclassical "compensation for risk" case has empirical merit here, more clearly than in any of the article's other five channels.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The HENRY case.</w:t>
      </w:r>
      <w:r w:rsidDel="00000000" w:rsidR="00000000" w:rsidRPr="00000000">
        <w:rPr>
          <w:rtl w:val="0"/>
        </w:rPr>
        <w:t xml:space="preserve"> </w:t>
      </w:r>
      <w:r w:rsidDel="00000000" w:rsidR="00000000" w:rsidRPr="00000000">
        <w:rPr>
          <w:i w:val="1"/>
          <w:iCs w:val="1"/>
          <w:rtl w:val="0"/>
        </w:rPr>
        <w:t xml:space="preserve">High Earner, Not Rich Yet</w:t>
      </w:r>
      <w:r w:rsidDel="00000000" w:rsidR="00000000" w:rsidRPr="00000000">
        <w:rPr>
          <w:rtl w:val="0"/>
        </w:rPr>
        <w:t xml:space="preserve">, a label popularized in Fortune by Shawn Tully starting in 2003 and consolidated in his 2008 essay, describes households earning $250,000 to $500,000 in expensive coastal metros (New York, San Francisco, Boston, Los Angeles) who feel comfortable but are not building generational wealth from their salaries alone.[44] Tully himself, in a 2024 update reported in Fast Company, revised the inflation-adjusted band upward: today's HENRYs typically earn $375,000 to $750,000, and many do not consider themselves wealthy. A CNBC analysis from December 2023, citing a LendingClub survey, reported that more than half of Americans earning over $100,000 a year live paycheck to paycheck.[49] The math behind this is mechanical. A $300,000 Manhattan household income pays roughly 40% combined to federal, state, and city taxes, then 30 to 35% of gross to housing in a desirable neighborhood, then $30,000 to $50,000 per child for childcare and private school. The realized savings rate often lands at 10 to 15% of gross. Real, but not transformational. When HENRYs do build wealth, it is overwhelmingly through home-equity appreciation (the housing channel), retirement accounts compounding in public equities (the buyback channel feeding into them), or equity in their own employer if it exists. The capital side does most of the work even at this income level.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The pure wage case.</w:t>
      </w:r>
      <w:r w:rsidDel="00000000" w:rsidR="00000000" w:rsidRPr="00000000">
        <w:rPr>
          <w:rtl w:val="0"/>
        </w:rPr>
        <w:t xml:space="preserve"> A narrow slice of professionals (specialist physicians in lower-cost regions, senior public-sector employees, tenured academics in cheaper metros) accumulate wealth primarily from salary. But "primarily" still understates the capital component. They buy houses that appreciate. They contribute to 401(k)s that compound in the market. The net worth they retire on reflects those compounding effects, not the salary line itself. The wage paid for living costs. The assets accumulated did the wealth-building.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High wage income, in other words, does not refute the wage-versus-capital divergence. It produces a hybrid case: the high earner who is structurally part wage worker, part capital owner. The capital side, even at $400,000 of total compensation, does most of the wealth-building work. The article applies to these readers too, just from a more comfortable vantage point with more options for which side of the asymmetry to optimize for.</w:t>
      </w:r>
    </w:p>
    <w:p w:rsidR="00000000" w:rsidDel="00000000" w:rsidP="00000000" w:rsidRDefault="00000000" w:rsidRPr="00000000" w14:paraId="000000C8">
      <w:pPr>
        <w:pStyle w:val="Heading3"/>
        <w:rPr/>
      </w:pPr>
      <w:bookmarkStart w:colFirst="0" w:colLast="0" w:name="_g14aemp86p7h" w:id="16"/>
      <w:bookmarkEnd w:id="16"/>
      <w:r w:rsidDel="00000000" w:rsidR="00000000" w:rsidRPr="00000000">
        <w:rPr>
          <w:rtl w:val="0"/>
        </w:rPr>
        <w:t xml:space="preserve">When work stopped being protection: the working poor</w:t>
      </w:r>
    </w:p>
    <w:p w:rsidR="00000000" w:rsidDel="00000000" w:rsidP="00000000" w:rsidRDefault="00000000" w:rsidRPr="00000000" w14:paraId="000000C9">
      <w:pPr>
        <w:rPr/>
      </w:pPr>
      <w:r w:rsidDel="00000000" w:rsidR="00000000" w:rsidRPr="00000000">
        <w:rPr>
          <w:rtl w:val="0"/>
        </w:rPr>
        <w:t xml:space="preserve">The structural picture has a consequence the article has so far approached only indirectly. If wages increasingly fail to convert into capital, then a meaningful share of working people gets stuck in a regime where the work exists and the financial security does not. The regime has a name.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 US statistics it is called </w:t>
      </w:r>
      <w:r w:rsidDel="00000000" w:rsidR="00000000" w:rsidRPr="00000000">
        <w:rPr>
          <w:i w:val="1"/>
          <w:iCs w:val="1"/>
          <w:rtl w:val="0"/>
        </w:rPr>
        <w:t xml:space="preserve">the working poor</w:t>
      </w:r>
      <w:r w:rsidDel="00000000" w:rsidR="00000000" w:rsidRPr="00000000">
        <w:rPr>
          <w:rtl w:val="0"/>
        </w:rPr>
        <w:t xml:space="preserve">. The Bureau of Labor Statistics defines the category as people who spent at least 27 weeks in the labor force (either working or actively seeking work) but whose household income remained below the official poverty threshold. In 2023, the most recent year published, approximately 6.1 million Americans fit this definition; the working-poor rate was 3.8 percent, down slightly from 4.0 percent in 2022 but still representing millions of people whose work does not produce financial security.[41] These are not the unemployed. These are people who work, sometimes at two or three jobs, and still live in financial fragility.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 Europe the equivalent metric is </w:t>
      </w:r>
      <w:r w:rsidDel="00000000" w:rsidR="00000000" w:rsidRPr="00000000">
        <w:rPr>
          <w:i w:val="1"/>
          <w:iCs w:val="1"/>
          <w:rtl w:val="0"/>
        </w:rPr>
        <w:t xml:space="preserve">in-work poverty</w:t>
      </w:r>
      <w:r w:rsidDel="00000000" w:rsidR="00000000" w:rsidRPr="00000000">
        <w:rPr>
          <w:rtl w:val="0"/>
        </w:rPr>
        <w:t xml:space="preserve">: the share of employed people living below 60% of national median income. Eurostat reports an EU average around 8 to 9%, with several countries (Romania, Spain, Italy) running higher.[42] The British economist Guy Standing labeled the broader class of people with chronically unstable employment </w:t>
      </w:r>
      <w:r w:rsidDel="00000000" w:rsidR="00000000" w:rsidRPr="00000000">
        <w:rPr>
          <w:i w:val="1"/>
          <w:iCs w:val="1"/>
          <w:rtl w:val="0"/>
        </w:rPr>
        <w:t xml:space="preserve">the precariat</w:t>
      </w:r>
      <w:r w:rsidDel="00000000" w:rsidR="00000000" w:rsidRPr="00000000">
        <w:rPr>
          <w:rtl w:val="0"/>
        </w:rPr>
        <w:t xml:space="preserve"> in his 2011 book </w:t>
      </w:r>
      <w:r w:rsidDel="00000000" w:rsidR="00000000" w:rsidRPr="00000000">
        <w:rPr>
          <w:i w:val="1"/>
          <w:iCs w:val="1"/>
          <w:rtl w:val="0"/>
        </w:rPr>
        <w:t xml:space="preserve">The Precariat: The New Dangerous Class</w:t>
      </w:r>
      <w:r w:rsidDel="00000000" w:rsidR="00000000" w:rsidRPr="00000000">
        <w:rPr>
          <w:rtl w:val="0"/>
        </w:rPr>
        <w:t xml:space="preserve">.[43] Not all of the working poor are precariat, and not all of the precariat are poor by absolute measures, but the overlap is substantial. The gig economy (Uber, DoorDash, freelance platforms, ride-share, food-delivery, contract platforms generally) produces one of the cleanest contemporary forms of precarity: formal work exists, income sometimes suffices, security does not.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This breaks the older binary. The assumption used to be that poor meant not working, and secure meant working. The current reality more often reads: the person works, sometimes intensely, but the economic system does not convert the effort into security. Educated, skilled, capable people live in a regime of "if next month's payment doesn't come through, things get very unpleasant very quickly." Chronic fatigue, the sense of being constantly busy without progressing, and the inability to plan further than a quarter are common features of that regime. The description is uncomfortable because it is familiar to far more people than public discourse usually acknowledges.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working poor are not a separate mechanism. They are the outcome of the same five-channel system, viewed from below. Wages fail to convert into capital, so working people lack a cushion, so any disruption (illness, equipment failure, lost client) tips into crisis, so long-term planning becomes inaccessible. Structurally, the precariat and the top-1% asset-holder sit on opposite sides of the same asymmetry. One loses the capacity to accumulate. The other accumulates almost automatically. The five channels and the working-poor regime are the same picture from different vantage points.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Article 2 will address the policy tools that have historically targeted exactly this segment: minimum-wage policy, in-work benefits, the Earned Income Tax Credit, Universal Basic Income proposals, sectoral bargaining, and others. Article 3 picks up how this looks across Southeast Asia, the post-2022 Russian diaspora, and the West simultaneously, because the precariat is now a global class rather than a Western one.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If you want a quick read on your structural exposure to the channels above, four diagnostic questions. They do not exhaustively map every channel; they cover the exposure points most readers can answer about themselves.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2"/>
        </w:numPr>
        <w:ind w:left="720" w:hanging="360"/>
      </w:pPr>
      <w:r w:rsidDel="00000000" w:rsidR="00000000" w:rsidRPr="00000000">
        <w:rPr>
          <w:b w:val="1"/>
          <w:bCs w:val="1"/>
          <w:rtl w:val="0"/>
        </w:rPr>
        <w:t xml:space="preserve">What share of your total financial gain in the last 24 months came from wages versus from asset appreciation (housing, equities, business equity, intellectual property)?</w:t>
      </w:r>
      <w:r w:rsidDel="00000000" w:rsidR="00000000" w:rsidRPr="00000000">
        <w:rPr>
          <w:rtl w:val="0"/>
        </w:rPr>
        <w:t xml:space="preserve"> If the answer is 95%+ wages, you are running on the slower-compounding path. If a meaningful share came from asset appreciation, you are partly insulated from the squeeze.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2"/>
        </w:numPr>
        <w:ind w:left="720" w:hanging="360"/>
      </w:pPr>
      <w:r w:rsidDel="00000000" w:rsidR="00000000" w:rsidRPr="00000000">
        <w:rPr>
          <w:b w:val="1"/>
          <w:bCs w:val="1"/>
          <w:rtl w:val="0"/>
        </w:rPr>
        <w:t xml:space="preserve">If your salary or current income stopped tomorrow, how long could your assets sustain your current expenses?</w:t>
      </w:r>
      <w:r w:rsidDel="00000000" w:rsidR="00000000" w:rsidRPr="00000000">
        <w:rPr>
          <w:rtl w:val="0"/>
        </w:rPr>
        <w:t xml:space="preserve"> Less than six months: you are income-dependent, no cushion. Six months to two years: partial insulation. More than two years: meaningful asset wealth, and your relationship to the structural picture is different.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0"/>
          <w:numId w:val="2"/>
        </w:numPr>
        <w:ind w:left="720" w:hanging="360"/>
      </w:pPr>
      <w:r w:rsidDel="00000000" w:rsidR="00000000" w:rsidRPr="00000000">
        <w:rPr>
          <w:b w:val="1"/>
          <w:bCs w:val="1"/>
          <w:rtl w:val="0"/>
        </w:rPr>
        <w:t xml:space="preserve">What fraction of your accumulated household wealth is housing equity?</w:t>
      </w:r>
      <w:r w:rsidDel="00000000" w:rsidR="00000000" w:rsidRPr="00000000">
        <w:rPr>
          <w:rtl w:val="0"/>
        </w:rPr>
        <w:t xml:space="preserve"> If 70%+, you are running on the housing channel: real wealth growth, but illiquid and concentrated, and exit (downsize, relocation, divorce) crystallizes the gain at whatever the market is doing that quarter.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D">
      <w:pPr>
        <w:numPr>
          <w:ilvl w:val="0"/>
          <w:numId w:val="2"/>
        </w:numPr>
        <w:ind w:left="720" w:hanging="360"/>
      </w:pPr>
      <w:r w:rsidDel="00000000" w:rsidR="00000000" w:rsidRPr="00000000">
        <w:rPr>
          <w:b w:val="1"/>
          <w:bCs w:val="1"/>
          <w:rtl w:val="0"/>
        </w:rPr>
        <w:t xml:space="preserve">Where is your retirement security going to come from?</w:t>
      </w:r>
      <w:r w:rsidDel="00000000" w:rsidR="00000000" w:rsidRPr="00000000">
        <w:rPr>
          <w:rtl w:val="0"/>
        </w:rPr>
        <w:t xml:space="preserve"> If a defined benefit pension (most public-sector workers in the US, some unionized industries, some legacy private-sector employees, some non-US public schemes), you are insulated from a specific channel. If a defined contribution account (401(k), IRA, similar), or if your retirement plan is "build a business, sell it, retire on the proceeds," or "diversify across asset classes and jurisdictions," or "keep working as long as possible," you are bearing the market, longevity, and timing risk that channel 4 transferred to individuals. Which of those individual-risk-bearing configurations you have chosen is itself a strategic decision the structural framework does not make for you.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These are not test questions with right answers. They are coordinates. The choice between paths, where it exists, is constrained by capital access, family background, career stage, geography, and risk tolerance, but knowing where you stand is the precondition for any move.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84loew1c8dm0" w:id="17"/>
      <w:bookmarkEnd w:id="17"/>
      <w:r w:rsidDel="00000000" w:rsidR="00000000" w:rsidRPr="00000000">
        <w:rPr>
          <w:rtl w:val="0"/>
        </w:rPr>
        <w:t xml:space="preserve">Closing</w:t>
      </w:r>
    </w:p>
    <w:p w:rsidR="00000000" w:rsidDel="00000000" w:rsidP="00000000" w:rsidRDefault="00000000" w:rsidRPr="00000000" w14:paraId="000000E3">
      <w:pPr>
        <w:rPr/>
      </w:pPr>
      <w:r w:rsidDel="00000000" w:rsidR="00000000" w:rsidRPr="00000000">
        <w:rPr>
          <w:rtl w:val="0"/>
        </w:rPr>
        <w:t xml:space="preserve">The wealth concentration of 2025 to 2026 is not an accident. It is what 45 years of </w:t>
      </w:r>
      <w:r w:rsidDel="00000000" w:rsidR="00000000" w:rsidRPr="00000000">
        <w:rPr>
          <w:i w:val="1"/>
          <w:iCs w:val="1"/>
          <w:rtl w:val="0"/>
        </w:rPr>
        <w:t xml:space="preserve">r &gt; g</w:t>
      </w:r>
      <w:r w:rsidDel="00000000" w:rsidR="00000000" w:rsidRPr="00000000">
        <w:rPr>
          <w:rtl w:val="0"/>
        </w:rPr>
        <w:t xml:space="preserve"> compounding through five specific channels (monetary policy, housing finance, buy-borrow-die at the top, the DB-to-DC migration, and buybacks) actually produces in the US, in adapted forms in other developed and middle-income economies, reinforced by a self-reinforcing political feedback loop and accelerated by AI in the most recent layer.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cross-country variation (Russia 48-56% top 1% wealth share, US 31.7%, China about one-third, Vietnam 25%, with Thailand's institutional pattern running through land concentration rather than financial-wealth shares) is direct evidence that the channels are institutional, not natural. Different institutional configurations produce dramatically different outcomes from the same underlying mechanisms.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Whether the institutions described owe anything to anyone is a question this article handed to the reader rather than answered. Three positions are available: the welfare-state reading that says yes, the libertarian reading that says no, and the empirical-pragmatist reading that says the question is what trade-offs each society has accepted. Article 2 takes up the policy interventions that have historically reduced wealth concentration, which presuppose some answer to the obligation question and inevitably take a position. Article 3 picks up the global picture and the comparative optic of someone watching three economies (Southeast Asian, post-2022 Russian, Western) at once.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number from the opening (top 1% at 31.7% in the US; 48-56% in Russia; 25% in Vietnam) does not describe a problem with a clean solution. It describes what each system has been doing on its current settings. Whether those settings change is mostly a political question in the broad sense of the word: who decides, on whose behalf, with what tools.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bkbjz5rcca7m" w:id="18"/>
      <w:bookmarkEnd w:id="18"/>
      <w:r w:rsidDel="00000000" w:rsidR="00000000" w:rsidRPr="00000000">
        <w:rPr>
          <w:rtl w:val="0"/>
        </w:rPr>
        <w:t xml:space="preserve">Sources</w:t>
      </w:r>
    </w:p>
    <w:p w:rsidR="00000000" w:rsidDel="00000000" w:rsidP="00000000" w:rsidRDefault="00000000" w:rsidRPr="00000000" w14:paraId="000000ED">
      <w:pPr>
        <w:rPr/>
      </w:pPr>
      <w:r w:rsidDel="00000000" w:rsidR="00000000" w:rsidRPr="00000000">
        <w:rPr>
          <w:rtl w:val="0"/>
        </w:rPr>
        <w:t xml:space="preserve">[1] Joint Center for Housing Studies of Harvard University. </w:t>
      </w:r>
      <w:r w:rsidDel="00000000" w:rsidR="00000000" w:rsidRPr="00000000">
        <w:rPr>
          <w:i w:val="1"/>
          <w:iCs w:val="1"/>
          <w:rtl w:val="0"/>
        </w:rPr>
        <w:t xml:space="preserve">State of the Nation's Housing 2025</w:t>
      </w:r>
      <w:r w:rsidDel="00000000" w:rsidR="00000000" w:rsidRPr="00000000">
        <w:rPr>
          <w:rtl w:val="0"/>
        </w:rPr>
        <w:t xml:space="preserve">. National median single-family home price was 3.2 times median household income through the 1990s; 4.1 in 2019; 5.0 in 2024. </w:t>
      </w:r>
      <w:hyperlink r:id="rId6">
        <w:r w:rsidDel="00000000" w:rsidR="00000000" w:rsidRPr="00000000">
          <w:rPr>
            <w:color w:val="1155cc"/>
            <w:u w:val="single"/>
            <w:rtl w:val="0"/>
          </w:rPr>
          <w:t xml:space="preserve">https://www.jchs.harvard.edu/blog/home-prices-surge-five-times-median-income-nearing-historic-highs</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 Federal Reserve Board of Governors. </w:t>
      </w:r>
      <w:r w:rsidDel="00000000" w:rsidR="00000000" w:rsidRPr="00000000">
        <w:rPr>
          <w:i w:val="1"/>
          <w:iCs w:val="1"/>
          <w:rtl w:val="0"/>
        </w:rPr>
        <w:t xml:space="preserve">Distributional Financial Accounts</w:t>
      </w:r>
      <w:r w:rsidDel="00000000" w:rsidR="00000000" w:rsidRPr="00000000">
        <w:rPr>
          <w:rtl w:val="0"/>
        </w:rPr>
        <w:t xml:space="preserve">, Q3 2025. Top 1% wealth share: 31.7%; total assets held by top 1%: $55.83 trillion. </w:t>
      </w:r>
      <w:hyperlink r:id="rId7">
        <w:r w:rsidDel="00000000" w:rsidR="00000000" w:rsidRPr="00000000">
          <w:rPr>
            <w:color w:val="1155cc"/>
            <w:u w:val="single"/>
            <w:rtl w:val="0"/>
          </w:rPr>
          <w:t xml:space="preserve">https://www.federalreserve.gov/releases/efa/efa-distributional-financial-accounts.htm</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 World Inequality Database (wid.world), Russian Federation, top 1% wealth share series; cross-referenced with Credit Suisse Global Wealth Report 2022 (subsequently UBS Global Wealth Report). WID series indicate top 1% wealth share around 47-48%; Credit Suisse estimates have given figures up to approximately 56% depending on methodology and treatment of offshore wealth. The range 48-56% reflects this methodological divergence and the well-documented difficulty of measuring Russian wealth concentration given large offshore holdings. See also: Novokmet, Piketty, Zucman, "From Soviets to Oligarchs: Inequality and Property in Russia 1905-2016," Journal of Economic Inequality (2018), and Mareeva &amp; Slobodenyuk, "Super-Wealth in Russia: Uneven and Invariable," ECONS.online (March 2024) for context. </w:t>
      </w:r>
      <w:hyperlink r:id="rId8">
        <w:r w:rsidDel="00000000" w:rsidR="00000000" w:rsidRPr="00000000">
          <w:rPr>
            <w:color w:val="1155cc"/>
            <w:u w:val="single"/>
            <w:rtl w:val="0"/>
          </w:rPr>
          <w:t xml:space="preserve">https://wid.world/country/russian-federation/</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[4] "Examining inequality through land ownership: top 1% holds 16% of land," The Nation Thailand, August 2025, citing Land Watch Thai research. Top 1% controls 16.78% of titled land by area and 34.91% by value; top 10% holds 710 times more land than bottom 10%. </w:t>
      </w:r>
      <w:hyperlink r:id="rId9">
        <w:r w:rsidDel="00000000" w:rsidR="00000000" w:rsidRPr="00000000">
          <w:rPr>
            <w:color w:val="1155cc"/>
            <w:u w:val="single"/>
            <w:rtl w:val="0"/>
          </w:rPr>
          <w:t xml:space="preserve">https://www.nationthailand.com/business/property/40054420</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[5] Stanford Center on China's Economy and Institutions, "The Rise of Wealth, Private Property, and Income Inequality in China." Top 10% wealth share approximately 67-68% (2015-2024 estimates); top 1% holds approximately one-third of national wealth. </w:t>
      </w:r>
      <w:hyperlink r:id="rId10">
        <w:r w:rsidDel="00000000" w:rsidR="00000000" w:rsidRPr="00000000">
          <w:rPr>
            <w:color w:val="1155cc"/>
            <w:u w:val="single"/>
            <w:rtl w:val="0"/>
          </w:rPr>
          <w:t xml:space="preserve">https://sccei.fsi.stanford.edu/china-briefs/rise-wealth-private-property-and-income-inequality-china</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 Phan, V.D. et al., "Wealth Inequality in Vietnam 2012-2020," IARIW 2024 Conference paper, citing World Inequality Database. Top decile owns approximately three-fifths of wealth; top 1% approximately one quarter. </w:t>
      </w:r>
      <w:hyperlink r:id="rId11">
        <w:r w:rsidDel="00000000" w:rsidR="00000000" w:rsidRPr="00000000">
          <w:rPr>
            <w:color w:val="1155cc"/>
            <w:u w:val="single"/>
            <w:rtl w:val="0"/>
          </w:rPr>
          <w:t xml:space="preserve">https://iariw.org/wp-content/uploads/2024/07/IARIW_Phan.pdf</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[7] Piketty, Thomas. </w:t>
      </w:r>
      <w:r w:rsidDel="00000000" w:rsidR="00000000" w:rsidRPr="00000000">
        <w:rPr>
          <w:i w:val="1"/>
          <w:iCs w:val="1"/>
          <w:rtl w:val="0"/>
        </w:rPr>
        <w:t xml:space="preserve">Capital in the Twenty-First Century</w:t>
      </w:r>
      <w:r w:rsidDel="00000000" w:rsidR="00000000" w:rsidRPr="00000000">
        <w:rPr>
          <w:rtl w:val="0"/>
        </w:rPr>
        <w:t xml:space="preserve">. Harvard University Press, 2014.</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[8] World Inequality Lab. </w:t>
      </w:r>
      <w:r w:rsidDel="00000000" w:rsidR="00000000" w:rsidRPr="00000000">
        <w:rPr>
          <w:i w:val="1"/>
          <w:iCs w:val="1"/>
          <w:rtl w:val="0"/>
        </w:rPr>
        <w:t xml:space="preserve">World Inequality Report 2026</w:t>
      </w:r>
      <w:r w:rsidDel="00000000" w:rsidR="00000000" w:rsidRPr="00000000">
        <w:rPr>
          <w:rtl w:val="0"/>
        </w:rPr>
        <w:t xml:space="preserve">. Edited by Lucas Chancel, Ricardo Gómez-Carrera, Rowaida Moshrif, and Thomas Piketty. Released December 10, 2025. </w:t>
      </w:r>
      <w:hyperlink r:id="rId12">
        <w:r w:rsidDel="00000000" w:rsidR="00000000" w:rsidRPr="00000000">
          <w:rPr>
            <w:color w:val="1155cc"/>
            <w:u w:val="single"/>
            <w:rtl w:val="0"/>
          </w:rPr>
          <w:t xml:space="preserve">https://wir2026.wid.world/</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[9] Acemoglu, Daron, and Simon Johnson. </w:t>
      </w:r>
      <w:r w:rsidDel="00000000" w:rsidR="00000000" w:rsidRPr="00000000">
        <w:rPr>
          <w:i w:val="1"/>
          <w:iCs w:val="1"/>
          <w:rtl w:val="0"/>
        </w:rPr>
        <w:t xml:space="preserve">Power and Progress: Our Thousand-Year Struggle Over Technology and Prosperity</w:t>
      </w:r>
      <w:r w:rsidDel="00000000" w:rsidR="00000000" w:rsidRPr="00000000">
        <w:rPr>
          <w:rtl w:val="0"/>
        </w:rPr>
        <w:t xml:space="preserve">. PublicAffairs, 2023. Acemoglu shared the 2024 Nobel Prize in Economics for his body of work on institutions and economic growth.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[10] Burg, Paul. "Vietnam Between the Village and the Megacity: Noise, the Street, and a Society Modernizing at Speed." paulburg.com, March 2026. Compressed modernization framework (Chang Kyung-Sup); Vietnamese transformation 1990-2024; tube house (</w:t>
      </w:r>
      <w:r w:rsidDel="00000000" w:rsidR="00000000" w:rsidRPr="00000000">
        <w:rPr>
          <w:i w:val="1"/>
          <w:iCs w:val="1"/>
          <w:rtl w:val="0"/>
        </w:rPr>
        <w:t xml:space="preserve">nhà ống</w:t>
      </w:r>
      <w:r w:rsidDel="00000000" w:rsidR="00000000" w:rsidRPr="00000000">
        <w:rPr>
          <w:rtl w:val="0"/>
        </w:rPr>
        <w:t xml:space="preserve">) housing finance; 40 million people lifted out of poverty 1993-2014. </w:t>
      </w:r>
      <w:hyperlink r:id="rId13">
        <w:r w:rsidDel="00000000" w:rsidR="00000000" w:rsidRPr="00000000">
          <w:rPr>
            <w:color w:val="1155cc"/>
            <w:u w:val="single"/>
            <w:rtl w:val="0"/>
          </w:rPr>
          <w:t xml:space="preserve">https://paulburg.com/blog/vietnam-urban-transformation</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[11] S&amp;P Cotality Case-Shiller US National Home Price Index. Q1 2012 low: 113.89. January 2026: 326.61. Series CSUSHPINSA, FRED. </w:t>
      </w:r>
      <w:hyperlink r:id="rId14">
        <w:r w:rsidDel="00000000" w:rsidR="00000000" w:rsidRPr="00000000">
          <w:rPr>
            <w:color w:val="1155cc"/>
            <w:u w:val="single"/>
            <w:rtl w:val="0"/>
          </w:rPr>
          <w:t xml:space="preserve">https://fred.stlouisfed.org/series/CSUSHPINSA</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[12] US Bureau of Labor Statistics. Average Hourly Earnings of All Employees, Total Private. Series CES0500000003, FRED.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[13] Federal Reserve. </w:t>
      </w:r>
      <w:r w:rsidDel="00000000" w:rsidR="00000000" w:rsidRPr="00000000">
        <w:rPr>
          <w:i w:val="1"/>
          <w:iCs w:val="1"/>
          <w:rtl w:val="0"/>
        </w:rPr>
        <w:t xml:space="preserve">2013 Survey of Consumer Finances</w:t>
      </w:r>
      <w:r w:rsidDel="00000000" w:rsidR="00000000" w:rsidRPr="00000000">
        <w:rPr>
          <w:rtl w:val="0"/>
        </w:rPr>
        <w:t xml:space="preserve">. Median US household net worth in 2013 was approximately $81,400. </w:t>
      </w:r>
      <w:hyperlink r:id="rId15">
        <w:r w:rsidDel="00000000" w:rsidR="00000000" w:rsidRPr="00000000">
          <w:rPr>
            <w:color w:val="1155cc"/>
            <w:u w:val="single"/>
            <w:rtl w:val="0"/>
          </w:rPr>
          <w:t xml:space="preserve">https://www.federalreserve.gov/pubs/bulletin/2014/pdf/scf14.pdf</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[14] Same source as [4], Land Watch Thai land-ownership concentration analysis, 2025.</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[15] Phan et al. (2024), IARIW conference paper. Vietnamese wealth inequality drivers: housing values and durables; rural-urban and ethnic divisions overlaid. Same source as [6].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[16] National Association of Realtors. </w:t>
      </w:r>
      <w:r w:rsidDel="00000000" w:rsidR="00000000" w:rsidRPr="00000000">
        <w:rPr>
          <w:i w:val="1"/>
          <w:iCs w:val="1"/>
          <w:rtl w:val="0"/>
        </w:rPr>
        <w:t xml:space="preserve">Profile of Home Buyers and Sellers, 2024</w:t>
      </w:r>
      <w:r w:rsidDel="00000000" w:rsidR="00000000" w:rsidRPr="00000000">
        <w:rPr>
          <w:rtl w:val="0"/>
        </w:rPr>
        <w:t xml:space="preserve">. </w:t>
      </w:r>
      <w:hyperlink r:id="rId16">
        <w:r w:rsidDel="00000000" w:rsidR="00000000" w:rsidRPr="00000000">
          <w:rPr>
            <w:color w:val="1155cc"/>
            <w:u w:val="single"/>
            <w:rtl w:val="0"/>
          </w:rPr>
          <w:t xml:space="preserve">https://www.nar.realtor/newsroom/first-time-home-buyers-shrink-to-historic-low-of-24-as-buyer-age-hits-record-high</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[17] Same source as [16]. 62% of all home buyers were married couples; median home buyer household income $108,800 (2023); median US household income approximately $80,000.</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[18] Eisinger, Jesse, Jeff Ernsthausen, and Paul Kiel. "The Secret IRS Files: Trove of Never-Before-Seen Records Reveal How the Wealthiest Avoid Income Tax." ProPublica, June 8, 2021. </w:t>
      </w:r>
      <w:hyperlink r:id="rId17">
        <w:r w:rsidDel="00000000" w:rsidR="00000000" w:rsidRPr="00000000">
          <w:rPr>
            <w:color w:val="1155cc"/>
            <w:u w:val="single"/>
            <w:rtl w:val="0"/>
          </w:rPr>
          <w:t xml:space="preserve">https://www.propublica.org/article/the-secret-irs-files-trove-of-never-before-seen-records-reveal-how-the-wealthiest-avoid-income-tax</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[19] Bureau of Labor Statistics. </w:t>
      </w:r>
      <w:r w:rsidDel="00000000" w:rsidR="00000000" w:rsidRPr="00000000">
        <w:rPr>
          <w:i w:val="1"/>
          <w:iCs w:val="1"/>
          <w:rtl w:val="0"/>
        </w:rPr>
        <w:t xml:space="preserve">National Compensation Survey: Employee Benefits in the United States, March 2024</w:t>
      </w:r>
      <w:r w:rsidDel="00000000" w:rsidR="00000000" w:rsidRPr="00000000">
        <w:rPr>
          <w:rtl w:val="0"/>
        </w:rPr>
        <w:t xml:space="preserve">. 15% of private-industry workers had access to a defined benefit plan. </w:t>
      </w:r>
      <w:hyperlink r:id="rId18">
        <w:r w:rsidDel="00000000" w:rsidR="00000000" w:rsidRPr="00000000">
          <w:rPr>
            <w:color w:val="1155cc"/>
            <w:u w:val="single"/>
            <w:rtl w:val="0"/>
          </w:rPr>
          <w:t xml:space="preserve">https://www.bls.gov/opub/ted/2025/31-percent-of-workers-in-financial-activities-had-access-to-a-defined-benefit-retirement-plan.htm</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[20] Butrica, Iams, Smith, Toder, "The Disappearing Defined Benefit Pension and Its Potential Impact on the Retirement Incomes of Baby Boomers," Social Security Bulletin Vol. 69 No. 3, 2009. </w:t>
      </w:r>
      <w:hyperlink r:id="rId19">
        <w:r w:rsidDel="00000000" w:rsidR="00000000" w:rsidRPr="00000000">
          <w:rPr>
            <w:color w:val="1155cc"/>
            <w:u w:val="single"/>
            <w:rtl w:val="0"/>
          </w:rPr>
          <w:t xml:space="preserve">https://www.ssa.gov/policy/docs/ssb/v69n3/v69n3p1.html</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[21] Vanguard. </w:t>
      </w:r>
      <w:r w:rsidDel="00000000" w:rsidR="00000000" w:rsidRPr="00000000">
        <w:rPr>
          <w:i w:val="1"/>
          <w:iCs w:val="1"/>
          <w:rtl w:val="0"/>
        </w:rPr>
        <w:t xml:space="preserve">How America Saves 2025</w:t>
      </w:r>
      <w:r w:rsidDel="00000000" w:rsidR="00000000" w:rsidRPr="00000000">
        <w:rPr>
          <w:rtl w:val="0"/>
        </w:rPr>
        <w:t xml:space="preserve">. Year-end 2024 data: median 401(k) balance for participants aged 65 and older was $95,425. </w:t>
      </w:r>
      <w:hyperlink r:id="rId20">
        <w:r w:rsidDel="00000000" w:rsidR="00000000" w:rsidRPr="00000000">
          <w:rPr>
            <w:color w:val="1155cc"/>
            <w:u w:val="single"/>
            <w:rtl w:val="0"/>
          </w:rPr>
          <w:t xml:space="preserve">https://institutional.vanguard.com/insights-and-research/research/how-america-saves.html</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[22] S&amp;P Dow Jones Indices. </w:t>
      </w:r>
      <w:r w:rsidDel="00000000" w:rsidR="00000000" w:rsidRPr="00000000">
        <w:rPr>
          <w:i w:val="1"/>
          <w:iCs w:val="1"/>
          <w:rtl w:val="0"/>
        </w:rPr>
        <w:t xml:space="preserve">S&amp;P 500 Q4 2024 Buybacks Increase 7.4% and 2024 Expenditure Sets New Record</w:t>
      </w:r>
      <w:r w:rsidDel="00000000" w:rsidR="00000000" w:rsidRPr="00000000">
        <w:rPr>
          <w:rtl w:val="0"/>
        </w:rPr>
        <w:t xml:space="preserve">, March 19, 2025. Total shareholder returns 2024: $1.572 trillion. Q1 2025 buybacks set quarterly record at $293.5 billion; 12-month period ending September 2025 total shareholder returns reached record $1.685 trillion per S&amp;P DJI Q3 2025 release (December 18, 2025). </w:t>
      </w:r>
      <w:hyperlink r:id="rId21">
        <w:r w:rsidDel="00000000" w:rsidR="00000000" w:rsidRPr="00000000">
          <w:rPr>
            <w:color w:val="1155cc"/>
            <w:u w:val="single"/>
            <w:rtl w:val="0"/>
          </w:rPr>
          <w:t xml:space="preserve">https://press.spglobal.com/2025-03-19-S-P-500-Q4-2024-Buybacks-Increase-7-4-and-2024-Expenditure-Sets-New-Record-by-Increasing-18-5</w:t>
        </w:r>
      </w:hyperlink>
      <w:r w:rsidDel="00000000" w:rsidR="00000000" w:rsidRPr="00000000">
        <w:rPr>
          <w:rtl w:val="0"/>
        </w:rPr>
        <w:t xml:space="preserve"> and </w:t>
      </w:r>
      <w:hyperlink r:id="rId22">
        <w:r w:rsidDel="00000000" w:rsidR="00000000" w:rsidRPr="00000000">
          <w:rPr>
            <w:color w:val="1155cc"/>
            <w:u w:val="single"/>
            <w:rtl w:val="0"/>
          </w:rPr>
          <w:t xml:space="preserve">https://www.spglobal.com/spdji/en/corporate-news/article/sp-500-q3-2025-buybacks-post-modest-62-gain-to-249-0-billion-after-declining-20-1-amidst-uncertainty-in-q2/</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[23] Lazonick, William. "Profits Without Prosperity." </w:t>
      </w:r>
      <w:r w:rsidDel="00000000" w:rsidR="00000000" w:rsidRPr="00000000">
        <w:rPr>
          <w:i w:val="1"/>
          <w:iCs w:val="1"/>
          <w:rtl w:val="0"/>
        </w:rPr>
        <w:t xml:space="preserve">Harvard Business Review</w:t>
      </w:r>
      <w:r w:rsidDel="00000000" w:rsidR="00000000" w:rsidRPr="00000000">
        <w:rPr>
          <w:rtl w:val="0"/>
        </w:rPr>
        <w:t xml:space="preserve">, September 2014. </w:t>
      </w:r>
      <w:hyperlink r:id="rId23">
        <w:r w:rsidDel="00000000" w:rsidR="00000000" w:rsidRPr="00000000">
          <w:rPr>
            <w:color w:val="1155cc"/>
            <w:u w:val="single"/>
            <w:rtl w:val="0"/>
          </w:rPr>
          <w:t xml:space="preserve">https://hbr.org/2014/09/profits-without-prosperity</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[24] Federal Reserve Distributional Financial Accounts, Q2 2025. Top 10% holds approximately 87% of US corporate equities and mutual fund shares; top 1% holds approximately 50% of stock market wealth. </w:t>
      </w:r>
      <w:hyperlink r:id="rId24">
        <w:r w:rsidDel="00000000" w:rsidR="00000000" w:rsidRPr="00000000">
          <w:rPr>
            <w:color w:val="1155cc"/>
            <w:u w:val="single"/>
            <w:rtl w:val="0"/>
          </w:rPr>
          <w:t xml:space="preserve">https://www.federalreserve.gov/releases/z1/dataviz/dfa/distribute/table/</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[25] CEPR Voxeu, "How the war is increasing inequality in Russia." February 2023. Post-2022 sanctions and political reshuffling intensified Russian wealth concentration around state-connected family networks. </w:t>
      </w:r>
      <w:hyperlink r:id="rId25">
        <w:r w:rsidDel="00000000" w:rsidR="00000000" w:rsidRPr="00000000">
          <w:rPr>
            <w:color w:val="1155cc"/>
            <w:u w:val="single"/>
            <w:rtl w:val="0"/>
          </w:rPr>
          <w:t xml:space="preserve">https://cepr.org/voxeu/columns/how-war-increasing-inequality-russia</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[26] Bonica, Adam. </w:t>
      </w:r>
      <w:r w:rsidDel="00000000" w:rsidR="00000000" w:rsidRPr="00000000">
        <w:rPr>
          <w:i w:val="1"/>
          <w:iCs w:val="1"/>
          <w:rtl w:val="0"/>
        </w:rPr>
        <w:t xml:space="preserve">Database on Ideology, Money in Politics, and Elections</w:t>
      </w:r>
      <w:r w:rsidDel="00000000" w:rsidR="00000000" w:rsidRPr="00000000">
        <w:rPr>
          <w:rtl w:val="0"/>
        </w:rPr>
        <w:t xml:space="preserve"> (DIME), Stanford University Libraries. Public version 4.0, 1979 to 2024. </w:t>
      </w:r>
      <w:hyperlink r:id="rId26">
        <w:r w:rsidDel="00000000" w:rsidR="00000000" w:rsidRPr="00000000">
          <w:rPr>
            <w:color w:val="1155cc"/>
            <w:u w:val="single"/>
            <w:rtl w:val="0"/>
          </w:rPr>
          <w:t xml:space="preserve">https://data.stanford.edu/dime</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[27] Sunlight Foundation. "The Political 1% of the 1% in 2012." </w:t>
      </w:r>
      <w:hyperlink r:id="rId27">
        <w:r w:rsidDel="00000000" w:rsidR="00000000" w:rsidRPr="00000000">
          <w:rPr>
            <w:color w:val="1155cc"/>
            <w:u w:val="single"/>
            <w:rtl w:val="0"/>
          </w:rPr>
          <w:t xml:space="preserve">https://sunlightfoundation.com/2014/04/17/american-oligarchy-how-the-preferences-of-elites-shape-policy-outcomes/</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[28] Gilens, Martin, and Benjamin I. Page. "Testing Theories of American Politics: Elites, Interest Groups, and Average Citizens." </w:t>
      </w:r>
      <w:r w:rsidDel="00000000" w:rsidR="00000000" w:rsidRPr="00000000">
        <w:rPr>
          <w:i w:val="1"/>
          <w:iCs w:val="1"/>
          <w:rtl w:val="0"/>
        </w:rPr>
        <w:t xml:space="preserve">Perspectives on Politics</w:t>
      </w:r>
      <w:r w:rsidDel="00000000" w:rsidR="00000000" w:rsidRPr="00000000">
        <w:rPr>
          <w:rtl w:val="0"/>
        </w:rPr>
        <w:t xml:space="preserve">, vol. 12 no. 3 (September 2014), pp. 564-581.</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[29] Bashir, Omar S. "Testing Inferences about American Politics: A Review of the Oligarchy Result." </w:t>
      </w:r>
      <w:r w:rsidDel="00000000" w:rsidR="00000000" w:rsidRPr="00000000">
        <w:rPr>
          <w:i w:val="1"/>
          <w:iCs w:val="1"/>
          <w:rtl w:val="0"/>
        </w:rPr>
        <w:t xml:space="preserve">Research and Politics</w:t>
      </w:r>
      <w:r w:rsidDel="00000000" w:rsidR="00000000" w:rsidRPr="00000000">
        <w:rPr>
          <w:rtl w:val="0"/>
        </w:rPr>
        <w:t xml:space="preserve">, October-December 2015.</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[30] American Enterprise Institute, citing College Board </w:t>
      </w:r>
      <w:r w:rsidDel="00000000" w:rsidR="00000000" w:rsidRPr="00000000">
        <w:rPr>
          <w:i w:val="1"/>
          <w:iCs w:val="1"/>
          <w:rtl w:val="0"/>
        </w:rPr>
        <w:t xml:space="preserve">Trends in College Pricing</w:t>
      </w:r>
      <w:r w:rsidDel="00000000" w:rsidR="00000000" w:rsidRPr="00000000">
        <w:rPr>
          <w:rtl w:val="0"/>
        </w:rPr>
        <w:t xml:space="preserve">. Public four-year sticker price: $7,841 (1990) to $21,558 (2020) in 2023 dollars; 175% real increase. </w:t>
      </w:r>
      <w:hyperlink r:id="rId28">
        <w:r w:rsidDel="00000000" w:rsidR="00000000" w:rsidRPr="00000000">
          <w:rPr>
            <w:color w:val="1155cc"/>
            <w:u w:val="single"/>
            <w:rtl w:val="0"/>
          </w:rPr>
          <w:t xml:space="preserve">https://www.aei.org/research-products/report/trends-in-net-college-tuition-and-financial-aid-1990-2020/</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[31] Federal Reserve. Total US student loan debt: approximately $1.84 trillion as of Q4 2025. </w:t>
      </w:r>
      <w:hyperlink r:id="rId29">
        <w:r w:rsidDel="00000000" w:rsidR="00000000" w:rsidRPr="00000000">
          <w:rPr>
            <w:color w:val="1155cc"/>
            <w:u w:val="single"/>
            <w:rtl w:val="0"/>
          </w:rPr>
          <w:t xml:space="preserve">https://fred.stlouisfed.org/series/SLOAS</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[32] Federal Reserve Bank of New York. </w:t>
      </w:r>
      <w:r w:rsidDel="00000000" w:rsidR="00000000" w:rsidRPr="00000000">
        <w:rPr>
          <w:i w:val="1"/>
          <w:iCs w:val="1"/>
          <w:rtl w:val="0"/>
        </w:rPr>
        <w:t xml:space="preserve">Quarterly Report on Household Debt and Credit</w:t>
      </w:r>
      <w:r w:rsidDel="00000000" w:rsidR="00000000" w:rsidRPr="00000000">
        <w:rPr>
          <w:rtl w:val="0"/>
        </w:rPr>
        <w:t xml:space="preserve">, Q4 2025. </w:t>
      </w:r>
      <w:hyperlink r:id="rId30">
        <w:r w:rsidDel="00000000" w:rsidR="00000000" w:rsidRPr="00000000">
          <w:rPr>
            <w:color w:val="1155cc"/>
            <w:u w:val="single"/>
            <w:rtl w:val="0"/>
          </w:rPr>
          <w:t xml:space="preserve">https://www.newyorkfed.org/microeconomics/topics/student-debt</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[33] Burg, Paul. "AI Is the Greatest Productivity Tool If You Can Afford It." paulburg.com, April 2026. </w:t>
      </w:r>
      <w:hyperlink r:id="rId31">
        <w:r w:rsidDel="00000000" w:rsidR="00000000" w:rsidRPr="00000000">
          <w:rPr>
            <w:color w:val="1155cc"/>
            <w:u w:val="single"/>
            <w:rtl w:val="0"/>
          </w:rPr>
          <w:t xml:space="preserve">https://paulburg.com/blog/ai-inequality</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[34] Federal Reserve Board. </w:t>
      </w:r>
      <w:r w:rsidDel="00000000" w:rsidR="00000000" w:rsidRPr="00000000">
        <w:rPr>
          <w:i w:val="1"/>
          <w:iCs w:val="1"/>
          <w:rtl w:val="0"/>
        </w:rPr>
        <w:t xml:space="preserve">Report on the Economic Well-Being of US Households in 2024</w:t>
      </w:r>
      <w:r w:rsidDel="00000000" w:rsidR="00000000" w:rsidRPr="00000000">
        <w:rPr>
          <w:rtl w:val="0"/>
        </w:rPr>
        <w:t xml:space="preserve">, Survey of Household Economics and Decisionmaking (SHED), May 2025. </w:t>
      </w:r>
      <w:hyperlink r:id="rId32">
        <w:r w:rsidDel="00000000" w:rsidR="00000000" w:rsidRPr="00000000">
          <w:rPr>
            <w:color w:val="1155cc"/>
            <w:u w:val="single"/>
            <w:rtl w:val="0"/>
          </w:rPr>
          <w:t xml:space="preserve">https://www.federalreserve.gov/publications/2025-economic-well-being-of-us-households-in-2024-savings-and-investments.htm</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[35] Vietnam General Statistics Office </w:t>
      </w:r>
      <w:r w:rsidDel="00000000" w:rsidR="00000000" w:rsidRPr="00000000">
        <w:rPr>
          <w:i w:val="1"/>
          <w:iCs w:val="1"/>
          <w:rtl w:val="0"/>
        </w:rPr>
        <w:t xml:space="preserve">2024 Household Living Standards Survey</w:t>
      </w:r>
      <w:r w:rsidDel="00000000" w:rsidR="00000000" w:rsidRPr="00000000">
        <w:rPr>
          <w:rtl w:val="0"/>
        </w:rPr>
        <w:t xml:space="preserve">, reported in Vietnam Briefing, September 2025. Average monthly income per capita 2024: VND 5.4 million (~$213). </w:t>
      </w:r>
      <w:hyperlink r:id="rId33">
        <w:r w:rsidDel="00000000" w:rsidR="00000000" w:rsidRPr="00000000">
          <w:rPr>
            <w:color w:val="1155cc"/>
            <w:u w:val="single"/>
            <w:rtl w:val="0"/>
          </w:rPr>
          <w:t xml:space="preserve">https://www.vietnam-briefing.com/news/vietnams-rising-purchasing-power-2024-household-living-standards-survey.html/</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[36] Glassnode Insights. "No, Bitcoin Ownership is not Highly Concentrated, But Whales are Accumulating." Approximately 2% of network entities control approximately 71.5% of Bitcoin supply. </w:t>
      </w:r>
      <w:hyperlink r:id="rId34">
        <w:r w:rsidDel="00000000" w:rsidR="00000000" w:rsidRPr="00000000">
          <w:rPr>
            <w:color w:val="1155cc"/>
            <w:u w:val="single"/>
            <w:rtl w:val="0"/>
          </w:rPr>
          <w:t xml:space="preserve">https://insights.glassnode.com/bitcoin-supply-distribution/</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[37] Stanford Institute for Human-Centered AI (HAI). </w:t>
      </w:r>
      <w:r w:rsidDel="00000000" w:rsidR="00000000" w:rsidRPr="00000000">
        <w:rPr>
          <w:i w:val="1"/>
          <w:iCs w:val="1"/>
          <w:rtl w:val="0"/>
        </w:rPr>
        <w:t xml:space="preserve">2026 AI Index Report</w:t>
      </w:r>
      <w:r w:rsidDel="00000000" w:rsidR="00000000" w:rsidRPr="00000000">
        <w:rPr>
          <w:rtl w:val="0"/>
        </w:rPr>
        <w:t xml:space="preserve">. US private AI investment 2025: $285.9 billion, 23 times China's $12.4 billion; industry produced over 90% of notable frontier models in 2025. </w:t>
      </w:r>
      <w:hyperlink r:id="rId35">
        <w:r w:rsidDel="00000000" w:rsidR="00000000" w:rsidRPr="00000000">
          <w:rPr>
            <w:color w:val="1155cc"/>
            <w:u w:val="single"/>
            <w:rtl w:val="0"/>
          </w:rPr>
          <w:t xml:space="preserve">https://hai.stanford.edu/ai-index/2026-ai-index-report</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[38] Perez, Carlota. </w:t>
      </w:r>
      <w:r w:rsidDel="00000000" w:rsidR="00000000" w:rsidRPr="00000000">
        <w:rPr>
          <w:i w:val="1"/>
          <w:iCs w:val="1"/>
          <w:rtl w:val="0"/>
        </w:rPr>
        <w:t xml:space="preserve">Technological Revolutions and Financial Capital: The Dynamics of Bubbles and Golden Ages</w:t>
      </w:r>
      <w:r w:rsidDel="00000000" w:rsidR="00000000" w:rsidRPr="00000000">
        <w:rPr>
          <w:rtl w:val="0"/>
        </w:rPr>
        <w:t xml:space="preserve">. Edward Elgar Publishing, 2002.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[39] Burg, Paul. "The AI Productivity Paradox." paulburg.com, April 2026. </w:t>
      </w:r>
      <w:hyperlink r:id="rId36">
        <w:r w:rsidDel="00000000" w:rsidR="00000000" w:rsidRPr="00000000">
          <w:rPr>
            <w:color w:val="1155cc"/>
            <w:u w:val="single"/>
            <w:rtl w:val="0"/>
          </w:rPr>
          <w:t xml:space="preserve">https://paulburg.com/blog/ai-productivity-paradox-free-time</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[40] Burg, Paul. "The AI Trade: Winners, Losers, and Defensible Ground." paulburg.com, May 7, 2026. </w:t>
      </w:r>
      <w:hyperlink r:id="rId37">
        <w:r w:rsidDel="00000000" w:rsidR="00000000" w:rsidRPr="00000000">
          <w:rPr>
            <w:color w:val="1155cc"/>
            <w:u w:val="single"/>
            <w:rtl w:val="0"/>
          </w:rPr>
          <w:t xml:space="preserve">https://paulburg.com/blog/ai-winners-losers-where-to-stand</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[41] US Bureau of Labor Statistics. </w:t>
      </w:r>
      <w:r w:rsidDel="00000000" w:rsidR="00000000" w:rsidRPr="00000000">
        <w:rPr>
          <w:i w:val="1"/>
          <w:iCs w:val="1"/>
          <w:rtl w:val="0"/>
        </w:rPr>
        <w:t xml:space="preserve">A Profile of the Working Poor, 2023</w:t>
      </w:r>
      <w:r w:rsidDel="00000000" w:rsidR="00000000" w:rsidRPr="00000000">
        <w:rPr>
          <w:rtl w:val="0"/>
        </w:rPr>
        <w:t xml:space="preserve">. Released January 2026. Defines working poor as people in labor force at least 27 weeks with household income below poverty threshold. Approximately 6.1 million Americans fit definition in 2023; working poor rate 3.8% (down from 4.0% in 2022). </w:t>
      </w:r>
      <w:hyperlink r:id="rId38">
        <w:r w:rsidDel="00000000" w:rsidR="00000000" w:rsidRPr="00000000">
          <w:rPr>
            <w:color w:val="1155cc"/>
            <w:u w:val="single"/>
            <w:rtl w:val="0"/>
          </w:rPr>
          <w:t xml:space="preserve">https://www.bls.gov/opub/reports/working-poor/2023/</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[42] Eurostat. "In-work at-risk-of-poverty rate by sex, age and household type." EU-SILC database. EU average in-work poverty rate approximately 8-9%; higher in Romania, Spain, Italy. </w:t>
      </w:r>
      <w:hyperlink r:id="rId39">
        <w:r w:rsidDel="00000000" w:rsidR="00000000" w:rsidRPr="00000000">
          <w:rPr>
            <w:color w:val="1155cc"/>
            <w:u w:val="single"/>
            <w:rtl w:val="0"/>
          </w:rPr>
          <w:t xml:space="preserve">https://ec.europa.eu/eurostat/databrowser/view/ilc_iw02/default/table</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[43] Standing, Guy. </w:t>
      </w:r>
      <w:r w:rsidDel="00000000" w:rsidR="00000000" w:rsidRPr="00000000">
        <w:rPr>
          <w:i w:val="1"/>
          <w:iCs w:val="1"/>
          <w:rtl w:val="0"/>
        </w:rPr>
        <w:t xml:space="preserve">The Precariat: The New Dangerous Class</w:t>
      </w:r>
      <w:r w:rsidDel="00000000" w:rsidR="00000000" w:rsidRPr="00000000">
        <w:rPr>
          <w:rtl w:val="0"/>
        </w:rPr>
        <w:t xml:space="preserve">. Bloomsbury Academic, 2011. Foundational text on the precariat as emerging socioeconomic class characterized by labor insecurity, income volatility, and absence of occupational identity. Followed by </w:t>
      </w:r>
      <w:r w:rsidDel="00000000" w:rsidR="00000000" w:rsidRPr="00000000">
        <w:rPr>
          <w:i w:val="1"/>
          <w:iCs w:val="1"/>
          <w:rtl w:val="0"/>
        </w:rPr>
        <w:t xml:space="preserve">A Precariat Charter</w:t>
      </w:r>
      <w:r w:rsidDel="00000000" w:rsidR="00000000" w:rsidRPr="00000000">
        <w:rPr>
          <w:rtl w:val="0"/>
        </w:rPr>
        <w:t xml:space="preserve"> (2014) outlining policy responses.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[44] Tully, Shawn. "Look Who Pays for the Bailout." </w:t>
      </w:r>
      <w:r w:rsidDel="00000000" w:rsidR="00000000" w:rsidRPr="00000000">
        <w:rPr>
          <w:i w:val="1"/>
          <w:iCs w:val="1"/>
          <w:rtl w:val="0"/>
        </w:rPr>
        <w:t xml:space="preserve">Fortune</w:t>
      </w:r>
      <w:r w:rsidDel="00000000" w:rsidR="00000000" w:rsidRPr="00000000">
        <w:rPr>
          <w:rtl w:val="0"/>
        </w:rPr>
        <w:t xml:space="preserve">, November 2008. Consolidating piece on the HENRY (High Earner, Not Rich Yet) concept, building on Tully's earlier 2003 work on the same demographic. The term has since entered standard usage in financial-planning and personal-finance discourse to describe high-income households (originally $250K-$500K, inflation-adjusted to $375K-$750K in Tully's 2024 update reported in Fast Company) in high-cost-of-living areas who do not accumulate generational wealth from salaries alone.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[45] Góes, Carlos. "Testing Piketty's Hypothesis on the Drivers of Income Inequality: Evidence from Panel VARs with Heterogeneous Dynamics." Working paper, May 2025. Uses panel VAR models on 18 advanced economies over 30 years; finds no empirical support for Piketty's specific r &gt; g causal chain driving income inequality, suggesting savings-rate adjustments and diminishing returns to capital offset the hypothesized effects. </w:t>
      </w:r>
      <w:hyperlink r:id="rId40">
        <w:r w:rsidDel="00000000" w:rsidR="00000000" w:rsidRPr="00000000">
          <w:rPr>
            <w:color w:val="1155cc"/>
            <w:u w:val="single"/>
            <w:rtl w:val="0"/>
          </w:rPr>
          <w:t xml:space="preserve">https://arxiv.org/pdf/2505.01521</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[46] Piketty, Thomas. </w:t>
      </w:r>
      <w:r w:rsidDel="00000000" w:rsidR="00000000" w:rsidRPr="00000000">
        <w:rPr>
          <w:i w:val="1"/>
          <w:iCs w:val="1"/>
          <w:rtl w:val="0"/>
        </w:rPr>
        <w:t xml:space="preserve">Capital in the 21st Century, Ten Years Later</w:t>
      </w:r>
      <w:r w:rsidDel="00000000" w:rsidR="00000000" w:rsidRPr="00000000">
        <w:rPr>
          <w:rtl w:val="0"/>
        </w:rPr>
        <w:t xml:space="preserve">. World Inequality Lab Working Paper 2025-21, 2025. Piketty's own ten-year retrospective on the original 2014 book; places more emphasis on political and institutional conflict over distribution than on the mechanical r &gt; g formula. </w:t>
      </w:r>
      <w:hyperlink r:id="rId41">
        <w:r w:rsidDel="00000000" w:rsidR="00000000" w:rsidRPr="00000000">
          <w:rPr>
            <w:color w:val="1155cc"/>
            <w:u w:val="single"/>
            <w:rtl w:val="0"/>
          </w:rPr>
          <w:t xml:space="preserve">https://wid.world/document/capital-in-the-21st-century-ten-years-later-world-inequality-lab-working-paper-2025-21/</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[47] Levels.fyi compensation data. Tech compensation breakdowns by company, level, and location. Last updated December 2025. Google L5 software engineer median total compensation $409,908; Google L6 median $598,251; Meta E5 median $351K to $503K; Meta E6 median $497K to $775K. </w:t>
      </w:r>
      <w:hyperlink r:id="rId42">
        <w:r w:rsidDel="00000000" w:rsidR="00000000" w:rsidRPr="00000000">
          <w:rPr>
            <w:color w:val="1155cc"/>
            <w:u w:val="single"/>
            <w:rtl w:val="0"/>
          </w:rPr>
          <w:t xml:space="preserve">https://www.levels.fyi/companies/google/salaries/software-engineer</w:t>
        </w:r>
      </w:hyperlink>
      <w:r w:rsidDel="00000000" w:rsidR="00000000" w:rsidRPr="00000000">
        <w:rPr>
          <w:rtl w:val="0"/>
        </w:rPr>
        <w:t xml:space="preserve"> and </w:t>
      </w:r>
      <w:hyperlink r:id="rId43">
        <w:r w:rsidDel="00000000" w:rsidR="00000000" w:rsidRPr="00000000">
          <w:rPr>
            <w:color w:val="1155cc"/>
            <w:u w:val="single"/>
            <w:rtl w:val="0"/>
          </w:rPr>
          <w:t xml:space="preserve">https://www.levels.fyi/companies/meta/salaries/software-engineer</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[48] Crunchbase News and TrueUp tech layoffs trackers. US tech industry layoff cycles: approximately 200,000 in 2023, 95,000 in 2024, 127,000 in 2025, with 2026 tracking similarly. Trackers differ in scope and definitions; figures are best read as rough orders of magnitude rather than precise counts. Mass layoff events typically result in loss of unvested RSU compensation for affected employees. </w:t>
      </w:r>
      <w:hyperlink r:id="rId44">
        <w:r w:rsidDel="00000000" w:rsidR="00000000" w:rsidRPr="00000000">
          <w:rPr>
            <w:color w:val="1155cc"/>
            <w:u w:val="single"/>
            <w:rtl w:val="0"/>
          </w:rPr>
          <w:t xml:space="preserve">https://news.crunchbase.com/startups/tech-layoffs/</w:t>
        </w:r>
      </w:hyperlink>
      <w:r w:rsidDel="00000000" w:rsidR="00000000" w:rsidRPr="00000000">
        <w:rPr>
          <w:rtl w:val="0"/>
        </w:rPr>
        <w:t xml:space="preserve"> and </w:t>
      </w:r>
      <w:hyperlink r:id="rId45">
        <w:r w:rsidDel="00000000" w:rsidR="00000000" w:rsidRPr="00000000">
          <w:rPr>
            <w:color w:val="1155cc"/>
            <w:u w:val="single"/>
            <w:rtl w:val="0"/>
          </w:rPr>
          <w:t xml:space="preserve">https://www.trueup.io/layoffs</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[49] CNBC, "Here's why even Americans making more than $100,000 live paycheck to paycheck," December 11, 2023, citing LendingClub survey data from September 2023. More than half of Americans earning over $100,000 a year reported living paycheck to paycheck. Note: subsequent surveys by Bank of America (2024) and Goldman Sachs Asset Management (2025 Retirement Survey) have reported figures in the 40-50% range for similarly defined samples, suggesting the pattern has persisted through 2025. </w:t>
      </w:r>
      <w:hyperlink r:id="rId46">
        <w:r w:rsidDel="00000000" w:rsidR="00000000" w:rsidRPr="00000000">
          <w:rPr>
            <w:color w:val="1155cc"/>
            <w:u w:val="single"/>
            <w:rtl w:val="0"/>
          </w:rPr>
          <w:t xml:space="preserve">https://www.cnbc.com/2023/12/11/why-even-americans-making-more-than-100000-live-paycheck-to-paycheck.html</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505.01521" TargetMode="External"/><Relationship Id="rId20" Type="http://schemas.openxmlformats.org/officeDocument/2006/relationships/hyperlink" Target="https://institutional.vanguard.com/insights-and-research/research/how-america-saves.html" TargetMode="External"/><Relationship Id="rId42" Type="http://schemas.openxmlformats.org/officeDocument/2006/relationships/hyperlink" Target="https://www.levels.fyi/companies/google/salaries/software-engineer" TargetMode="External"/><Relationship Id="rId41" Type="http://schemas.openxmlformats.org/officeDocument/2006/relationships/hyperlink" Target="https://wid.world/document/capital-in-the-21st-century-ten-years-later-world-inequality-lab-working-paper-2025-21/" TargetMode="External"/><Relationship Id="rId22" Type="http://schemas.openxmlformats.org/officeDocument/2006/relationships/hyperlink" Target="https://www.spglobal.com/spdji/en/corporate-news/article/sp-500-q3-2025-buybacks-post-modest-62-gain-to-249-0-billion-after-declining-20-1-amidst-uncertainty-in-q2/" TargetMode="External"/><Relationship Id="rId44" Type="http://schemas.openxmlformats.org/officeDocument/2006/relationships/hyperlink" Target="https://news.crunchbase.com/startups/tech-layoffs/" TargetMode="External"/><Relationship Id="rId21" Type="http://schemas.openxmlformats.org/officeDocument/2006/relationships/hyperlink" Target="https://press.spglobal.com/2025-03-19-S-P-500-Q4-2024-Buybacks-Increase-7-4-and-2024-Expenditure-Sets-New-Record-by-Increasing-18-5" TargetMode="External"/><Relationship Id="rId43" Type="http://schemas.openxmlformats.org/officeDocument/2006/relationships/hyperlink" Target="https://www.levels.fyi/companies/meta/salaries/software-engineer" TargetMode="External"/><Relationship Id="rId24" Type="http://schemas.openxmlformats.org/officeDocument/2006/relationships/hyperlink" Target="https://www.federalreserve.gov/releases/z1/dataviz/dfa/distribute/table/" TargetMode="External"/><Relationship Id="rId46" Type="http://schemas.openxmlformats.org/officeDocument/2006/relationships/hyperlink" Target="https://www.cnbc.com/2023/12/11/why-even-americans-making-more-than-100000-live-paycheck-to-paycheck.html" TargetMode="External"/><Relationship Id="rId23" Type="http://schemas.openxmlformats.org/officeDocument/2006/relationships/hyperlink" Target="https://hbr.org/2014/09/profits-without-prosperity" TargetMode="External"/><Relationship Id="rId45" Type="http://schemas.openxmlformats.org/officeDocument/2006/relationships/hyperlink" Target="https://www.trueup.io/layoff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ionthailand.com/business/property/40054420" TargetMode="External"/><Relationship Id="rId26" Type="http://schemas.openxmlformats.org/officeDocument/2006/relationships/hyperlink" Target="https://data.stanford.edu/dime" TargetMode="External"/><Relationship Id="rId25" Type="http://schemas.openxmlformats.org/officeDocument/2006/relationships/hyperlink" Target="https://cepr.org/voxeu/columns/how-war-increasing-inequality-russia" TargetMode="External"/><Relationship Id="rId28" Type="http://schemas.openxmlformats.org/officeDocument/2006/relationships/hyperlink" Target="https://www.aei.org/research-products/report/trends-in-net-college-tuition-and-financial-aid-1990-2020/" TargetMode="External"/><Relationship Id="rId27" Type="http://schemas.openxmlformats.org/officeDocument/2006/relationships/hyperlink" Target="https://sunlightfoundation.com/2014/04/17/american-oligarchy-how-the-preferences-of-elites-shape-policy-outcomes/" TargetMode="External"/><Relationship Id="rId5" Type="http://schemas.openxmlformats.org/officeDocument/2006/relationships/styles" Target="styles.xml"/><Relationship Id="rId6" Type="http://schemas.openxmlformats.org/officeDocument/2006/relationships/hyperlink" Target="https://www.jchs.harvard.edu/blog/home-prices-surge-five-times-median-income-nearing-historic-highs" TargetMode="External"/><Relationship Id="rId29" Type="http://schemas.openxmlformats.org/officeDocument/2006/relationships/hyperlink" Target="https://fred.stlouisfed.org/series/SLOAS" TargetMode="External"/><Relationship Id="rId7" Type="http://schemas.openxmlformats.org/officeDocument/2006/relationships/hyperlink" Target="https://www.federalreserve.gov/releases/efa/efa-distributional-financial-accounts.htm" TargetMode="External"/><Relationship Id="rId8" Type="http://schemas.openxmlformats.org/officeDocument/2006/relationships/hyperlink" Target="https://wid.world/country/russian-federation/" TargetMode="External"/><Relationship Id="rId31" Type="http://schemas.openxmlformats.org/officeDocument/2006/relationships/hyperlink" Target="https://paulburg.com/blog/ai-inequality" TargetMode="External"/><Relationship Id="rId30" Type="http://schemas.openxmlformats.org/officeDocument/2006/relationships/hyperlink" Target="https://www.newyorkfed.org/microeconomics/topics/student-debt" TargetMode="External"/><Relationship Id="rId11" Type="http://schemas.openxmlformats.org/officeDocument/2006/relationships/hyperlink" Target="https://iariw.org/wp-content/uploads/2024/07/IARIW_Phan.pdf" TargetMode="External"/><Relationship Id="rId33" Type="http://schemas.openxmlformats.org/officeDocument/2006/relationships/hyperlink" Target="https://www.vietnam-briefing.com/news/vietnams-rising-purchasing-power-2024-household-living-standards-survey.html/" TargetMode="External"/><Relationship Id="rId10" Type="http://schemas.openxmlformats.org/officeDocument/2006/relationships/hyperlink" Target="https://sccei.fsi.stanford.edu/china-briefs/rise-wealth-private-property-and-income-inequality-china" TargetMode="External"/><Relationship Id="rId32" Type="http://schemas.openxmlformats.org/officeDocument/2006/relationships/hyperlink" Target="https://www.federalreserve.gov/publications/2025-economic-well-being-of-us-households-in-2024-savings-and-investments.htm" TargetMode="External"/><Relationship Id="rId13" Type="http://schemas.openxmlformats.org/officeDocument/2006/relationships/hyperlink" Target="https://paulburg.com/blog/vietnam-urban-transformation" TargetMode="External"/><Relationship Id="rId35" Type="http://schemas.openxmlformats.org/officeDocument/2006/relationships/hyperlink" Target="https://hai.stanford.edu/ai-index/2026-ai-index-report" TargetMode="External"/><Relationship Id="rId12" Type="http://schemas.openxmlformats.org/officeDocument/2006/relationships/hyperlink" Target="https://wir2026.wid.world/" TargetMode="External"/><Relationship Id="rId34" Type="http://schemas.openxmlformats.org/officeDocument/2006/relationships/hyperlink" Target="https://insights.glassnode.com/bitcoin-supply-distribution/" TargetMode="External"/><Relationship Id="rId15" Type="http://schemas.openxmlformats.org/officeDocument/2006/relationships/hyperlink" Target="https://www.federalreserve.gov/pubs/bulletin/2014/pdf/scf14.pdf" TargetMode="External"/><Relationship Id="rId37" Type="http://schemas.openxmlformats.org/officeDocument/2006/relationships/hyperlink" Target="https://paulburg.com/blog/ai-winners-losers-where-to-stand" TargetMode="External"/><Relationship Id="rId14" Type="http://schemas.openxmlformats.org/officeDocument/2006/relationships/hyperlink" Target="https://fred.stlouisfed.org/series/CSUSHPINSA" TargetMode="External"/><Relationship Id="rId36" Type="http://schemas.openxmlformats.org/officeDocument/2006/relationships/hyperlink" Target="https://paulburg.com/blog/ai-productivity-paradox-free-time" TargetMode="External"/><Relationship Id="rId17" Type="http://schemas.openxmlformats.org/officeDocument/2006/relationships/hyperlink" Target="https://www.propublica.org/article/the-secret-irs-files-trove-of-never-before-seen-records-reveal-how-the-wealthiest-avoid-income-tax" TargetMode="External"/><Relationship Id="rId39" Type="http://schemas.openxmlformats.org/officeDocument/2006/relationships/hyperlink" Target="https://ec.europa.eu/eurostat/databrowser/view/ilc_iw02/default/table" TargetMode="External"/><Relationship Id="rId16" Type="http://schemas.openxmlformats.org/officeDocument/2006/relationships/hyperlink" Target="https://www.nar.realtor/newsroom/first-time-home-buyers-shrink-to-historic-low-of-24-as-buyer-age-hits-record-high" TargetMode="External"/><Relationship Id="rId38" Type="http://schemas.openxmlformats.org/officeDocument/2006/relationships/hyperlink" Target="https://www.bls.gov/opub/reports/working-poor/2023/" TargetMode="External"/><Relationship Id="rId19" Type="http://schemas.openxmlformats.org/officeDocument/2006/relationships/hyperlink" Target="https://www.ssa.gov/policy/docs/ssb/v69n3/v69n3p1.html" TargetMode="External"/><Relationship Id="rId18" Type="http://schemas.openxmlformats.org/officeDocument/2006/relationships/hyperlink" Target="https://www.bls.gov/opub/ted/2025/31-percent-of-workers-in-financial-activities-had-access-to-a-defined-benefit-retirement-pla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