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rto7pildy4b" w:id="0"/>
      <w:bookmarkEnd w:id="0"/>
      <w:r w:rsidDel="00000000" w:rsidR="00000000" w:rsidRPr="00000000">
        <w:rPr>
          <w:rtl w:val="0"/>
        </w:rPr>
        <w:t xml:space="preserve">Почему зарплата больше не превращается в капитал: пять механизмов концентрации</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В 1990-х средний американский дом стоил примерно столько, сколько средняя семья зарабатывает за три года. К 2024-му — за пять. Это рекорд за всю историю наблюдений, если не считать пузыря 2006-го. В Сан-Франциско, Сан-Хосе, Лос-Анджелесе и Гонолулу соотношение доходит до десяти и двенадцати. Концентрация богатства — вот лежащий в основе феномен, и соотношение цена-жилья-к-доходу одно из самых чистых мест, где его видно. Зайди в кофейню в Ханое или в коворкинг в Дананге — услышишь ту же тему, только в другом регистре. Не «насколько цены на жильё обогнали зарплаты», а «может ли вообще вьетнамская семья, русский экспат или тайский профессионал войти в глобальную финансовую систему, которая всё это производит». Вопрос глобальный. Данные — нет.</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К концу 2025-го верхний 1% американских домохозяйств владел 31,7% всего богатства страны. Это $55,8 триллиона. И США — даже не крайний случай. Российский 1% держит порядка 48-56% национального богатства, в зависимости от источника — крайняя точка среди крупных экономик. В Китае верхний 10% владеет примерно 68% национального богатства, а верхний 1% — около трети. Вьетнам, наоборот, ближе к нижнему краю сравнимого диапазона: верхний 1% — около 25%, верхний 10% — около 60%. Таиланд следует другому институциональному паттерну: стандартные доли по финансовому богатству для верхних 1% измерены менее точно, но анализ Land Watch Thai 2025 года показал, что верхний 1% контролирует 34,91% титульной земли по стоимости, а верхний 10% владеет землёй в 710 раз большей, чем нижний 10%, по площади. Концентрация земли — это доминирующая институциональная форма концентрации богатства в Таиланде, и она напрямую не сопоставима с долями финансового богатства, используемыми для других четырёх экономик. Пять стран. Одна и та же глобальная система капитала. Разные институциональные настройки. Драматически разные результаты. Механизмы работают везде. Размеры решают институты.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Эта статья про то, что конкретно изменилось за период с 1980 по 2025. Не моральная сторона неравенства, не рекомендации политикам (это тема Статьи 2), не полная глобальная картина (этим займётся Статья 3). Только структурная механика. Какие каналы передачи сработали. Почему стандартные ответы стали работать медленнее. Что из всего этого вытекает для человека, который пытается понять, где он реально стоит. И ещё один вопрос, который статья разбирает прямо, а не обходит: должны ли вообще что-то описанные институты кому-либо.</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Одна оговорка про географию. Большая часть данных ниже из американских источников — потому что макроданные по распределению богатства там самые чистые, длинные и обсуждаемые. Механизмы работают в похожих формах в большинстве развитых и средне-доходных экономик. Но институциональные конфигурации различаются. Иногда драматически. Россия после 2022-го ничем не похожа на Вьетнам эпохи реформ Đổi Mới. Ни одна не похожа на Таиланд с его концентрацией земли. И у всех у них другое отношение к глобальному порядку капитала, чем у США. Там, где сравнительные данные надёжные, я их использую. Где нет — американские данные работают как самое чистое доступное исследование, с оговоркой, что величины напрямую не переносятся.</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1bp2m9uemzx7" w:id="1"/>
      <w:bookmarkEnd w:id="1"/>
      <w:r w:rsidDel="00000000" w:rsidR="00000000" w:rsidRPr="00000000">
        <w:rPr>
          <w:rtl w:val="0"/>
        </w:rPr>
        <w:t xml:space="preserve">Каркас: r &gt; g</w:t>
      </w:r>
    </w:p>
    <w:p w:rsidR="00000000" w:rsidDel="00000000" w:rsidP="00000000" w:rsidRDefault="00000000" w:rsidRPr="00000000" w14:paraId="0000000E">
      <w:pPr>
        <w:rPr/>
      </w:pPr>
      <w:r w:rsidDel="00000000" w:rsidR="00000000" w:rsidRPr="00000000">
        <w:rPr>
          <w:rtl w:val="0"/>
        </w:rPr>
        <w:t xml:space="preserve">Базовая математика — от Тома Пикетти, «Капитал в XXI веке» (2014). Расширена через Всемирную лабораторию неравенства, причём «Доклад о мировом неравенстве 2026» (декабрь 2025) — самый свежий синтез. Формула простая: </w:t>
      </w:r>
      <w:r w:rsidDel="00000000" w:rsidR="00000000" w:rsidRPr="00000000">
        <w:rPr>
          <w:i w:val="1"/>
          <w:iCs w:val="1"/>
          <w:rtl w:val="0"/>
        </w:rPr>
        <w:t xml:space="preserve">r &gt; g</w:t>
      </w:r>
      <w:r w:rsidDel="00000000" w:rsidR="00000000" w:rsidRPr="00000000">
        <w:rPr>
          <w:rtl w:val="0"/>
        </w:rPr>
        <w:t xml:space="preserve">. Когда доходность капитала выше темпа роста экономики, богатство концентрируется со временем механически. Не имеет значения, талантлив ли кто-то в этой системе, ленив, добродетелен или хищен. Арифметика делает остальное.</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Интуитивно это просто. Допустим, у тебя активы, которые растут на 6% в год. А экономика, где живут зарплаты, растёт на 2%. Со временем доля общего экономического выпуска, идущая к владельцам капитала, увеличивается. Доля, идущая к работникам, сжимается. Сидит ли владелец капитала на пляже или строит что-то в конкретный год — арифметике всё равно.</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Бо́льшую часть XX века </w:t>
      </w:r>
      <w:r w:rsidDel="00000000" w:rsidR="00000000" w:rsidRPr="00000000">
        <w:rPr>
          <w:i w:val="1"/>
          <w:iCs w:val="1"/>
          <w:rtl w:val="0"/>
        </w:rPr>
        <w:t xml:space="preserve">r</w:t>
      </w:r>
      <w:r w:rsidDel="00000000" w:rsidR="00000000" w:rsidRPr="00000000">
        <w:rPr>
          <w:rtl w:val="0"/>
        </w:rPr>
        <w:t xml:space="preserve"> и </w:t>
      </w:r>
      <w:r w:rsidDel="00000000" w:rsidR="00000000" w:rsidRPr="00000000">
        <w:rPr>
          <w:i w:val="1"/>
          <w:iCs w:val="1"/>
          <w:rtl w:val="0"/>
        </w:rPr>
        <w:t xml:space="preserve">g</w:t>
      </w:r>
      <w:r w:rsidDel="00000000" w:rsidR="00000000" w:rsidRPr="00000000">
        <w:rPr>
          <w:rtl w:val="0"/>
        </w:rPr>
        <w:t xml:space="preserve"> шли близко. Динамика особо не накапливалась. Две мировые войны, послевоенное восстановление, высокие предельные ставки налогов, сильные профсоюзы, быстрый рост производительности в реальной экономике — всё это держало разрыв узким. Примерно с 1980-го </w:t>
      </w:r>
      <w:r w:rsidDel="00000000" w:rsidR="00000000" w:rsidRPr="00000000">
        <w:rPr>
          <w:i w:val="1"/>
          <w:iCs w:val="1"/>
          <w:rtl w:val="0"/>
        </w:rPr>
        <w:t xml:space="preserve">r</w:t>
      </w:r>
      <w:r w:rsidDel="00000000" w:rsidR="00000000" w:rsidRPr="00000000">
        <w:rPr>
          <w:rtl w:val="0"/>
        </w:rPr>
        <w:t xml:space="preserve"> пошла комфортно выше </w:t>
      </w:r>
      <w:r w:rsidDel="00000000" w:rsidR="00000000" w:rsidRPr="00000000">
        <w:rPr>
          <w:i w:val="1"/>
          <w:iCs w:val="1"/>
          <w:rtl w:val="0"/>
        </w:rPr>
        <w:t xml:space="preserve">g</w:t>
      </w:r>
      <w:r w:rsidDel="00000000" w:rsidR="00000000" w:rsidRPr="00000000">
        <w:rPr>
          <w:rtl w:val="0"/>
        </w:rPr>
        <w:t xml:space="preserve"> в США и большей части Европы. То, что мы видим сегодня — это как выглядят 45 лет накопления того самого разрыва.</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Почему именно после 1980-го? Три правдоподобных объяснения, и серьёзная эмпирическая работа ни одно не выявила как однозначного фаворита.</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Институционалистская точка зрения</w:t>
      </w:r>
      <w:r w:rsidDel="00000000" w:rsidR="00000000" w:rsidRPr="00000000">
        <w:rPr>
          <w:rtl w:val="0"/>
        </w:rPr>
        <w:t xml:space="preserve"> — Дарон Аджемоглу (его Нобелевская премия 2024 года признала именно эту работу), Саймон Джонсон, Джеймс Робинсон и другие. Утверждают, что </w:t>
      </w:r>
      <w:r w:rsidDel="00000000" w:rsidR="00000000" w:rsidRPr="00000000">
        <w:rPr>
          <w:i w:val="1"/>
          <w:iCs w:val="1"/>
          <w:rtl w:val="0"/>
        </w:rPr>
        <w:t xml:space="preserve">r</w:t>
      </w:r>
      <w:r w:rsidDel="00000000" w:rsidR="00000000" w:rsidRPr="00000000">
        <w:rPr>
          <w:rtl w:val="0"/>
        </w:rPr>
        <w:t xml:space="preserve"> подняли политические и институциональные выборы: низкое налогообложение капитала, финансовая дерегуляция, ослабленная координация труда, направление новых технологий способами, которые благоволят капиталу. Книга Аджемоглу и Джонсона «Власть и прогресс» (2023) — самый доступный синтез этого взгляда. Технологический прогресс не распределяется широко автоматически. Как именно распределяются его плоды — зависит от институтов. А институты — это политические артефакты.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Неоклассическая точка зрения</w:t>
      </w:r>
      <w:r w:rsidDel="00000000" w:rsidR="00000000" w:rsidRPr="00000000">
        <w:rPr>
          <w:rtl w:val="0"/>
        </w:rPr>
        <w:t xml:space="preserve"> — Дэвид Аутор, Лоуренс Кац, Клаудиа Голдин. Утверждают, что </w:t>
      </w:r>
      <w:r w:rsidDel="00000000" w:rsidR="00000000" w:rsidRPr="00000000">
        <w:rPr>
          <w:i w:val="1"/>
          <w:iCs w:val="1"/>
          <w:rtl w:val="0"/>
        </w:rPr>
        <w:t xml:space="preserve">r</w:t>
      </w:r>
      <w:r w:rsidDel="00000000" w:rsidR="00000000" w:rsidRPr="00000000">
        <w:rPr>
          <w:rtl w:val="0"/>
        </w:rPr>
        <w:t xml:space="preserve"> после 1980-го поднялась, потому что технология и глобализация создали динамику «победитель забирает всё», вознаграждающую самый масштабируемый человеческий капитал и фирмы. Концентрация произошла бы и при любой разумно нейтральной институциональной конфигурации.</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Замедление производительности</w:t>
      </w:r>
      <w:r w:rsidDel="00000000" w:rsidR="00000000" w:rsidRPr="00000000">
        <w:rPr>
          <w:rtl w:val="0"/>
        </w:rPr>
        <w:t xml:space="preserve"> — Роберт Гордон, «Взлёт и падение американского роста». </w:t>
      </w:r>
      <w:r w:rsidDel="00000000" w:rsidR="00000000" w:rsidRPr="00000000">
        <w:rPr>
          <w:i w:val="1"/>
          <w:iCs w:val="1"/>
          <w:rtl w:val="0"/>
        </w:rPr>
        <w:t xml:space="preserve">g</w:t>
      </w:r>
      <w:r w:rsidDel="00000000" w:rsidR="00000000" w:rsidRPr="00000000">
        <w:rPr>
          <w:rtl w:val="0"/>
        </w:rPr>
        <w:t xml:space="preserve"> существенно упала после 1973-го, когда великие инновации второй индустриальной революции исчерпали свой вклад в рост. Разрыв </w:t>
      </w:r>
      <w:r w:rsidDel="00000000" w:rsidR="00000000" w:rsidRPr="00000000">
        <w:rPr>
          <w:i w:val="1"/>
          <w:iCs w:val="1"/>
          <w:rtl w:val="0"/>
        </w:rPr>
        <w:t xml:space="preserve">r &gt; g</w:t>
      </w:r>
      <w:r w:rsidDel="00000000" w:rsidR="00000000" w:rsidRPr="00000000">
        <w:rPr>
          <w:rtl w:val="0"/>
        </w:rPr>
        <w:t xml:space="preserve"> после 1980-го — это в основном история знаменателя, а не числителя.</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Эти три объяснения не исключают друг друга. Статья использует институциональную рамку. Она наиболее прямо отображается на конкретные каналы передачи, которые я разбираю ниже. И ещё одна причина: вариация между странами (Россия 48-56% доли верхнего 1% против Вьетнама 25%, обе работают на одних и тех же глобальных рынках) трудно объяснить без институционального взгляда.</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Эмпирическая работа Карлоса Гойса (рабочая статья, май 2025) тестирует гипотезу </w:t>
      </w:r>
      <w:r w:rsidDel="00000000" w:rsidR="00000000" w:rsidRPr="00000000">
        <w:rPr>
          <w:i w:val="1"/>
          <w:iCs w:val="1"/>
          <w:rtl w:val="0"/>
        </w:rPr>
        <w:t xml:space="preserve">r &gt; g</w:t>
      </w:r>
      <w:r w:rsidDel="00000000" w:rsidR="00000000" w:rsidRPr="00000000">
        <w:rPr>
          <w:rtl w:val="0"/>
        </w:rPr>
        <w:t xml:space="preserve"> через панельные VAR-модели на 18 развитых экономиках за 30 лет и не находит эмпирической поддержки для конкретного причинного механизма Пикетти, влияющего на неравенство доходов; работа предполагает, что корректировки нормы сбережений и убывающая отдача капитала компенсируют гипотезированные эффекты.[45] Сам Пикетти в своей ретроспективе 2025 года «Capital in the 21st Century, Ten Years Later» (World Inequality Lab Working Paper 2025-21) делает больший упор на политические и институциональные динамики, на политико-экономический конфликт за распределение выгод от технологий и глобализации, нежели на механическую формулу </w:t>
      </w:r>
      <w:r w:rsidDel="00000000" w:rsidR="00000000" w:rsidRPr="00000000">
        <w:rPr>
          <w:i w:val="1"/>
          <w:iCs w:val="1"/>
          <w:rtl w:val="0"/>
        </w:rPr>
        <w:t xml:space="preserve">r &gt; g</w:t>
      </w:r>
      <w:r w:rsidDel="00000000" w:rsidR="00000000" w:rsidRPr="00000000">
        <w:rPr>
          <w:rtl w:val="0"/>
        </w:rPr>
        <w:t xml:space="preserve">.[46] Эти два недавних пересмотра важны для того, как статья строит свой аргумент. Принять Гойса всерьёз — значит признать, что </w:t>
      </w:r>
      <w:r w:rsidDel="00000000" w:rsidR="00000000" w:rsidRPr="00000000">
        <w:rPr>
          <w:i w:val="1"/>
          <w:iCs w:val="1"/>
          <w:rtl w:val="0"/>
        </w:rPr>
        <w:t xml:space="preserve">r &gt; g</w:t>
      </w:r>
      <w:r w:rsidDel="00000000" w:rsidR="00000000" w:rsidRPr="00000000">
        <w:rPr>
          <w:rtl w:val="0"/>
        </w:rPr>
        <w:t xml:space="preserve"> не работает как причинный двигатель концентрации богатства; эмпирическая поддержка именно этого причинного механизма ослабла. Поэтому дальше статья относится к </w:t>
      </w:r>
      <w:r w:rsidDel="00000000" w:rsidR="00000000" w:rsidRPr="00000000">
        <w:rPr>
          <w:i w:val="1"/>
          <w:iCs w:val="1"/>
          <w:rtl w:val="0"/>
        </w:rPr>
        <w:t xml:space="preserve">r &gt; g</w:t>
      </w:r>
      <w:r w:rsidDel="00000000" w:rsidR="00000000" w:rsidRPr="00000000">
        <w:rPr>
          <w:rtl w:val="0"/>
        </w:rPr>
        <w:t xml:space="preserve"> как к полезной эвристике, описывающей разрыв между скоростью накопления капитала и зарплат в окне 1980-2025, но возлагает причинный вес на конкретные институциональные каналы, описанные ниже. Пять каналов — это механизм. </w:t>
      </w:r>
      <w:r w:rsidDel="00000000" w:rsidR="00000000" w:rsidRPr="00000000">
        <w:rPr>
          <w:i w:val="1"/>
          <w:iCs w:val="1"/>
          <w:rtl w:val="0"/>
        </w:rPr>
        <w:t xml:space="preserve">r &gt; g</w:t>
      </w:r>
      <w:r w:rsidDel="00000000" w:rsidR="00000000" w:rsidRPr="00000000">
        <w:rPr>
          <w:rtl w:val="0"/>
        </w:rPr>
        <w:t xml:space="preserve"> — описательное сокращение для разрыва, который они производят, а не двигатель, который его создаёт. Это переформулирование имеет значение для любого прогноза на следующие 25 лет: изменения самих каналов (монетарная политика, жилищное финансирование, налоговый кодекс, пенсионные институты, регулирование выкупов) будут двигать распределение; изменения абстрактного соотношения </w:t>
      </w:r>
      <w:r w:rsidDel="00000000" w:rsidR="00000000" w:rsidRPr="00000000">
        <w:rPr>
          <w:i w:val="1"/>
          <w:iCs w:val="1"/>
          <w:rtl w:val="0"/>
        </w:rPr>
        <w:t xml:space="preserve">r</w:t>
      </w:r>
      <w:r w:rsidDel="00000000" w:rsidR="00000000" w:rsidRPr="00000000">
        <w:rPr>
          <w:rtl w:val="0"/>
        </w:rPr>
        <w:t xml:space="preserve"> к </w:t>
      </w:r>
      <w:r w:rsidDel="00000000" w:rsidR="00000000" w:rsidRPr="00000000">
        <w:rPr>
          <w:i w:val="1"/>
          <w:iCs w:val="1"/>
          <w:rtl w:val="0"/>
        </w:rPr>
        <w:t xml:space="preserve">g</w:t>
      </w:r>
      <w:r w:rsidDel="00000000" w:rsidR="00000000" w:rsidRPr="00000000">
        <w:rPr>
          <w:rtl w:val="0"/>
        </w:rPr>
        <w:t xml:space="preserve"> в изоляции — могут и не двигать.</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xlj85d7bft7z" w:id="2"/>
      <w:bookmarkEnd w:id="2"/>
      <w:r w:rsidDel="00000000" w:rsidR="00000000" w:rsidRPr="00000000">
        <w:rPr>
          <w:rtl w:val="0"/>
        </w:rPr>
        <w:t xml:space="preserve">Контраргумент, который стоит взять всерьёз</w:t>
      </w:r>
    </w:p>
    <w:p w:rsidR="00000000" w:rsidDel="00000000" w:rsidP="00000000" w:rsidRDefault="00000000" w:rsidRPr="00000000" w14:paraId="00000022">
      <w:pPr>
        <w:rPr/>
      </w:pPr>
      <w:r w:rsidDel="00000000" w:rsidR="00000000" w:rsidRPr="00000000">
        <w:rPr>
          <w:rtl w:val="0"/>
        </w:rPr>
        <w:t xml:space="preserve">Сильнейшее возражение этой рамке — критика по абсолютному уровню. Глобальная крайняя бедность упала с 42% в 1980-м до меньше 10% к 2024-му. Это крупнейшее абсолютное сокращение бедности в истории человечества. Один только Вьетнам поднял 40 миллионов человек из бедности за период 1993-2014 (этот факт я разбирал в контексте сжатой модернизации в эссе </w:t>
      </w:r>
      <w:r w:rsidDel="00000000" w:rsidR="00000000" w:rsidRPr="00000000">
        <w:rPr>
          <w:i w:val="1"/>
          <w:iCs w:val="1"/>
          <w:rtl w:val="0"/>
        </w:rPr>
        <w:t xml:space="preserve">Vietnam Between the Village and the Megacity</w:t>
      </w:r>
      <w:r w:rsidDel="00000000" w:rsidR="00000000" w:rsidRPr="00000000">
        <w:rPr>
          <w:rtl w:val="0"/>
        </w:rPr>
        <w:t xml:space="preserve"> на этом сайте — пока только на английском). Сокращение бедности в Китае эпохи реформ ещё больше. Внутри США реальное медианное потребление домохозяйств выросло существенно. Качество жилья, доступ к здравоохранению, технологии, продолжительность жизни — всё пошло вверх, даже при сужающейся доле богатства. Разумный человек спросит: почему доля важнее уровня?</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Они измеряют разные вещи. И обе реальны. Абсолютные уровни жизни выросли, это не оспаривается. Статья 3 ещё вернётся к глобальной картине бедности. А пока: концентрация по доле важна, потому что доля богатства определяет несколько вещей, которые уровень потребления не определяет. Доступ к активам — может ли следующее поколение войти на рынок жилья или акций вообще. Политическое влияние — об этом ниже. Межпоколенческая мобильность — она чувствительна к относительному богатству, а не к абсолютному потреблению. Макроэкономическая стабильность — концентрированное богатство тратится медленнее.</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Второе возражение, заслуживающее серьёзного рассмотрения, — это lifecycle / когортная интерпретация статистики долей богатства, связанная с Эдвардом Вульфом и другими. Цифры доли верхних 1% и 10% по богатству смешивают истинно богатых с людьми в пиковом возрасте заработка и накопления. Часть роста концентрации после 1980-го отражает механическую демографию: стареющие общества, в которых когорта 55-75 лет имела больше лет для накопления, более крупные когорты, входящие в пенсионный возраст, и большая продолжительность жизни растягивает богатство на больше лет. Это не опровержение институционального чтения, но это реальная составляющая заголовочных цифр, которую чисто-институциональные аккаунты недооценивают. Честная версия такая: некоторая нетривиальная доля измеренной концентрации — это компаундирование возрастной структуры, и институциональные каналы, описанные ниже, работают поверх этой демографической базы, а не независимо от неё.</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Сравнение между странами — само по себе сильнейший аргумент в пользу институционального взгляда. Если бы концентрация была чистой функцией технологии и глобальных рынков капитала, страны, работающие на тех же рынках, сходились бы к похожим уровням. Они не сходятся. Разрыв примерно в 25 процентных пунктов между Россией (верхний 1% владеет 48-56%) и Вьетнамом (~25%) не объясняется ни доступом к технологиям, ни торговой открытостью. Он объясняется институтами. Как богатство изначально распределилось. Кто получил приватизированные активы и по каким ценам. Что делает налоговый кодекс. Как права собственности взаимодействуют с семейными сетями. Какие механизмы перераспределения существуют. Механизмы ниже работают во всех этих странах. Тумблеры стоят на разных позициях.</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9gvy5v15tci5" w:id="3"/>
      <w:bookmarkEnd w:id="3"/>
      <w:r w:rsidDel="00000000" w:rsidR="00000000" w:rsidRPr="00000000">
        <w:rPr>
          <w:rtl w:val="0"/>
        </w:rPr>
        <w:t xml:space="preserve">Об обязательствах и опоре на себя</w:t>
      </w:r>
    </w:p>
    <w:p w:rsidR="00000000" w:rsidDel="00000000" w:rsidP="00000000" w:rsidRDefault="00000000" w:rsidRPr="00000000" w14:paraId="0000002C">
      <w:pPr>
        <w:rPr/>
      </w:pPr>
      <w:r w:rsidDel="00000000" w:rsidR="00000000" w:rsidRPr="00000000">
        <w:rPr>
          <w:rtl w:val="0"/>
        </w:rPr>
        <w:t xml:space="preserve">Перед тем как разбирать пять каналов, один вопрос, который статья обойти не может. Должны ли описанные институты что-то людям, на которых они влияют? В анализе ниже язык вроде «перенос риска», «обход колонки зарплат», «разрыв связи» между корпоративным потоком денег и компенсацией работников несёт скрытый нормативный вес. Как будто эти конфигурации должны быть другими. Этот вес стоит вытащить наружу. Он не универсальный. И не очевидный.</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Есть три позиции, которые стоит взять всерьёз. Статья не выбирает между ними.</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Позиция государства благосостояния.</w:t>
      </w:r>
      <w:r w:rsidDel="00000000" w:rsidR="00000000" w:rsidRPr="00000000">
        <w:rPr>
          <w:rtl w:val="0"/>
        </w:rPr>
        <w:t xml:space="preserve"> Послевоенные западные демократии построили негласный социальный контракт. Капитал, который пользуется коллективной инфраструктурой (образованной рабочей силой, стабильными правами собственности, работающими судами, государственными инвестициями в фундаментальную науку), несёт обязательство делиться излишком широко. Гарантированные пенсии, прогрессивные налоги, общественное здравоохранение, защита труда — это институциональное выражение того контракта. С этой точки зрения, демонтаж этих конфигураций после 1980-го — одностороннее переписывание контракта. Не естественный исход рынка. И концентрация богатства, которая за этим последовала, — предсказуемое следствие сломанных обязательств.</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Либертарианская позиция.</w:t>
      </w:r>
      <w:r w:rsidDel="00000000" w:rsidR="00000000" w:rsidRPr="00000000">
        <w:rPr>
          <w:rtl w:val="0"/>
        </w:rPr>
        <w:t xml:space="preserve"> У институтов нет никаких положительных обязательств, кроме тех, на которые они явно подписались. Работодатель не должен пенсий, если пенсий нет в трудовом договоре. Государство не должно здравоохранения, если граждане не санкционировали это обязательство через политический процесс, который они продолжают подтверждать. Каждый отвечает за свой результат сам. Распределение богатства, которое получается из добровольных обменов, каким бы неравным оно ни было, — легитимный результат свободного выбора. С этой точки зрения, «асимметричный перенос риска и вознаграждения», который описывает статья, никакой не перенос. Это серия добровольных договорённостей между согласными сторонами. А обида, которую некоторые читатели чувствуют, — она отражает невысказанное ожидание права на что-то.</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Эмпирически-прагматическая позиция.</w:t>
      </w:r>
      <w:r w:rsidDel="00000000" w:rsidR="00000000" w:rsidRPr="00000000">
        <w:rPr>
          <w:rtl w:val="0"/>
        </w:rPr>
        <w:t xml:space="preserve"> Должны ли институты обеспечивать пенсии, здравоохранение или широкое благосостояние — вопрос политики, не природы. Разные общества решили по-разному. Скандинавские страны с сильной координацией труда и прогрессивными налогами показывают значительно меньшую концентрацию богатства, чем США. Россия после приватизаций 1990-х пошла в третьем направлении. Вьетнам, строивший государство развития внутри авторитарной рамки, — в четвёртом. Ни одно из этих решений не более естественное, чем другие. Все они — политические артефакты. Вопрос не в том, что институты «должны». Вопрос в том, какие компромиссы каждое общество приняло. И служат ли эти компромиссы тем ценностям, которые общество декларирует.</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Пишу это из Дананга, десять лет после России. По обстоятельствам моя рабочая жизнь идёт на либертарианско-прагматической стороне этой карты. Никаких пенсионных ожиданий. Никакой национальной соцзащиты, до которой я могу дотянуться. Никаких профсоюзов. Никакого работодателя, обещавшего мне непрерывность за пределами текущего контракта. Флаг, который стоит поднять про мою собственную позицию: статья применяет survivorship-bias-проверку к крипто-китам и к tech-equity комп; та же проверка применима и к личной рамке, которую я тут использую. То, что моя жизнь «воплощает», отражает позицию человека, для которого десять лет самозанятости в Азии произвели терпимый результат. Основатели, фрилансеры и экспаты, чьё self-reliance дало другой результат — банкротство, обратная миграция, наёмная работа после провалившегося захода, тихие выходы из игры — не попадают в этот набор данных. Либертарианско-прагматическая позиция, которую я описываю, — это позиция, работающая изнутри функционирующей версии этой сделки, а не среднее по всем, кто попробовал.</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Остальная часть статьи описывает механику. Воспринимать её как нарушенные обязательства, как добровольные договорённости, работающие как задумано, или как политический выбор, который оценивается по последствиям — это вопрос, который статья оставляет читателю.</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dzvtpi1ikd6n" w:id="4"/>
      <w:bookmarkEnd w:id="4"/>
      <w:r w:rsidDel="00000000" w:rsidR="00000000" w:rsidRPr="00000000">
        <w:rPr>
          <w:rtl w:val="0"/>
        </w:rPr>
        <w:t xml:space="preserve">Пять каналов передачи</w:t>
      </w:r>
    </w:p>
    <w:p w:rsidR="00000000" w:rsidDel="00000000" w:rsidP="00000000" w:rsidRDefault="00000000" w:rsidRPr="00000000" w14:paraId="0000003C">
      <w:pPr>
        <w:rPr/>
      </w:pPr>
      <w:r w:rsidDel="00000000" w:rsidR="00000000" w:rsidRPr="00000000">
        <w:rPr>
          <w:rtl w:val="0"/>
        </w:rPr>
        <w:t xml:space="preserve">Совокупная картина </w:t>
      </w:r>
      <w:r w:rsidDel="00000000" w:rsidR="00000000" w:rsidRPr="00000000">
        <w:rPr>
          <w:i w:val="1"/>
          <w:iCs w:val="1"/>
          <w:rtl w:val="0"/>
        </w:rPr>
        <w:t xml:space="preserve">r &gt; g</w:t>
      </w:r>
      <w:r w:rsidDel="00000000" w:rsidR="00000000" w:rsidRPr="00000000">
        <w:rPr>
          <w:rtl w:val="0"/>
        </w:rPr>
        <w:t xml:space="preserve"> проявляется на уровне домохозяйств через конкретные каналы. Пять из них важнее всего для разрыва между тем, что строят зарплаты, и тем, что строит капитал. Их легче увидеть по одному, чем как единую статистику.</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Канал 1 (монетарная политика) — самый циклический из пяти. Его 14-летний прогон с 2008 по 2022 был существенным ускорителем, не постоянной чертой. Каналы 2-5 — устойчивые институциональные конфигурации, которые накапливались в США все 45 лет и в адаптированных формах в других местах.</w:t>
      </w:r>
    </w:p>
    <w:p w:rsidR="00000000" w:rsidDel="00000000" w:rsidP="00000000" w:rsidRDefault="00000000" w:rsidRPr="00000000" w14:paraId="0000003F">
      <w:pPr>
        <w:pStyle w:val="Heading3"/>
        <w:rPr/>
      </w:pPr>
      <w:bookmarkStart w:colFirst="0" w:colLast="0" w:name="_756nanr5i60w" w:id="5"/>
      <w:bookmarkEnd w:id="5"/>
      <w:r w:rsidDel="00000000" w:rsidR="00000000" w:rsidRPr="00000000">
        <w:rPr>
          <w:rtl w:val="0"/>
        </w:rPr>
        <w:t xml:space="preserve">1. Монетарная политика и QE как разгонщик цен активов</w:t>
      </w:r>
    </w:p>
    <w:p w:rsidR="00000000" w:rsidDel="00000000" w:rsidP="00000000" w:rsidRDefault="00000000" w:rsidRPr="00000000" w14:paraId="00000040">
      <w:pPr>
        <w:rPr/>
      </w:pPr>
      <w:r w:rsidDel="00000000" w:rsidR="00000000" w:rsidRPr="00000000">
        <w:rPr>
          <w:rtl w:val="0"/>
        </w:rPr>
        <w:t xml:space="preserve">Высокая доходность капитала после примерно 2008-го — это не только корпоративная динамика и не только технологический прогресс. Это отчасти прямой артефакт политики центральных банков.</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После кризиса 2008-го и снова в пандемию ФРС и большинство крупных центральных банков держали процентные ставки около нуля. Ставка ФРС была ниже 0,25% с декабря 2008 по декабрь 2015 и снова с марта 2020 по март 2022. И запустили несколько раундов количественного смягчения (QE) — выкуп триллионов долларов долгосрочных активов, чтобы давить доходности вниз. Механика простая: если держать ставки искусственно низкими, цены долгосрочных активов (акции, недвижимость, длинные облигации) растут. Будущие денежные потоки дисконтируются по более низкой ставке, значит сегодняшняя оценка идёт вверх.</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Домохозяйства, которые в окно 2008-2022 держали крупные позиции в этих активах, увидели существенный рост богатства. Сами по себе, не делая ничего. Домохозяйства, которые этих позиций не держали, увидели, как их зарплаты стагнируют, а цена каждого актива, который они могли бы захотеть купить (дома, акций для пенсии), уходит вверх мимо них.</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В России после февраля 2022-го логика пошла в обратную сторону — но с тем же концентрирующим эффектом. Валютный контроль, санкции, резкое обесценение рубля. Все эти вещи закрепили преимущество тех, кто уже держал международно торгуемые активы (зарубежную недвижимость, иностранные акции, доллары и евро, криптовалюту) над теми, чьи накопления остались в рублях. Механизм отличается от американского QE. Но направление последствий то же. Держатели активов выигрывают. Зарплатники и держатели рубля проигрывают.</w:t>
      </w:r>
    </w:p>
    <w:p w:rsidR="00000000" w:rsidDel="00000000" w:rsidP="00000000" w:rsidRDefault="00000000" w:rsidRPr="00000000" w14:paraId="00000047">
      <w:pPr>
        <w:pStyle w:val="Heading3"/>
        <w:rPr/>
      </w:pPr>
      <w:bookmarkStart w:colFirst="0" w:colLast="0" w:name="_1mft11yks6j" w:id="6"/>
      <w:bookmarkEnd w:id="6"/>
      <w:r w:rsidDel="00000000" w:rsidR="00000000" w:rsidRPr="00000000">
        <w:rPr>
          <w:rtl w:val="0"/>
        </w:rPr>
        <w:t xml:space="preserve">2. Жильё — водораздел после 2012-го</w:t>
      </w:r>
    </w:p>
    <w:p w:rsidR="00000000" w:rsidDel="00000000" w:rsidP="00000000" w:rsidRDefault="00000000" w:rsidRPr="00000000" w14:paraId="00000048">
      <w:pPr>
        <w:rPr/>
      </w:pPr>
      <w:r w:rsidDel="00000000" w:rsidR="00000000" w:rsidRPr="00000000">
        <w:rPr>
          <w:rtl w:val="0"/>
        </w:rPr>
        <w:t xml:space="preserve">Самая важная линия класса в большинстве развитых экономик в 2026-м — это владел ли ты домом до примерно 2013 года или нет. Десять лет назад так остро не было. Сейчас это единственный самый крупный фактор того, становится ли семья среднего класса тихо верхним средним, или тихо съезжает к нищим по активам.</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Индекс цен жилья Кейс-Шиллер по США достиг постпузырного минимума в 113,89 в первом квартале 2012-го. К январю 2026-го стоял на 326,61. Рост в 2,85x за 14 лет. Зарплаты в США за тот же период выросли номинально процентов на 40. В реальном выражении едва двинулись. Семья, купившая медианный дом в 2012-м с первоначальным взносом в 20%, сидит на нереализованной прибыли больше, чем медианное общее богатство домохозяйства США в 2012 году (около $81 400 по Survey of Consumer Finances ФРС).</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Та же линия раздела работает с другой механикой в других местах. В Бангкоке и окружающих тайских провинциях концентрация земли верхнего 1% к 2025-му достигла 34,91% титульной земли по стоимости. Верхний 10% владеет в 710 раз большим количеством земли, чем нижний 10%, по площади. Концентрация земельной собственности в Таиланде — гораздо более давнее явление, чем американский рост цен на жильё. Но приток капитала после 2012-го и туристическая спекуляция недвижимостью её усилили.</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Во Вьетнаме всё иначе. Традиция </w:t>
      </w:r>
      <w:r w:rsidDel="00000000" w:rsidR="00000000" w:rsidRPr="00000000">
        <w:rPr>
          <w:i w:val="1"/>
          <w:iCs w:val="1"/>
          <w:rtl w:val="0"/>
        </w:rPr>
        <w:t xml:space="preserve">nhà ống</w:t>
      </w:r>
      <w:r w:rsidDel="00000000" w:rsidR="00000000" w:rsidRPr="00000000">
        <w:rPr>
          <w:rtl w:val="0"/>
        </w:rPr>
        <w:t xml:space="preserve"> (домов-тубусов) и нехватка городской земли создали совсем другую конфигурацию финансирования жилья, чем американская 30-летняя ипотека. Но жильё всё равно остаётся доминирующим хранилищем семейного богатства. Неравенство там движется в первую очередь стоимостью жилья и товаров длительного пользования, плюс сверху лежат сельско-городские и этнические деления.</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В России зарубежная недвижимость (Дубай, Кипр, Турция, Таиланд, Вьетнам) стала доминирующей стратегией сохранения капитала после февраля 2022-го. Механизм варьируется. Логика последовательна. Жильё, в широком смысле, — это место, где сидит значительная часть концентрации богатства, накопленной после 1980-го.</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В США это ещё и место, где наёмный средний класс делится изнутри. Тот, кто владел домом в крупном американском метро до 2013-го, — отчасти бенефициар той же динамики </w:t>
      </w:r>
      <w:r w:rsidDel="00000000" w:rsidR="00000000" w:rsidRPr="00000000">
        <w:rPr>
          <w:i w:val="1"/>
          <w:iCs w:val="1"/>
          <w:rtl w:val="0"/>
        </w:rPr>
        <w:t xml:space="preserve">r &gt; g</w:t>
      </w:r>
      <w:r w:rsidDel="00000000" w:rsidR="00000000" w:rsidRPr="00000000">
        <w:rPr>
          <w:rtl w:val="0"/>
        </w:rPr>
        <w:t xml:space="preserve">. Его капитал в жилье вырос быстрее, чем зарплаты позволили бы накопить. Входящие после 2013-го и арендаторы — нет. Раскол имеет ещё и поколенческую форму. Покупатель 1995 года, сейчас наёмный работник с выплаченным домом, накопил кумулятивный рост стоимости жилья эпохи QE и, скорее всего, ушёл на пенсию по гарантированному плану. Покупатель 2020-го подвержен каналу 1 в обратную сторону и каналу 4 полностью. «Наёмный средний класс» 2026 года содержит и 60-летнего, который структурно защищён, и 30-летнего, который — нет.</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Что поставило каждое американское домохозяйство на какую сторону? Отчасти время — нужно было быть достаточно взрослым, чтобы купить в 2012-м. Отчасти местный рынок. Отчасти доступ к капиталу в момент входа. Этот последний кусок всё более видим в данных. Отчёт Национальной ассоциации риелторов «Профиль покупателей и продавцов жилья 2024» сообщает: 25% первых покупателей жилья в США получили подарок или заём от родственника или друга на первоначальный взнос. А покупки, финансируемые наследством, достигли исторического максимума в 7%. Глубинный эффект тут — это неявная субсидия, встроенная в американскую систему жилищного финансирования. 30-летняя ипотека с фиксированной ставкой работает как длинная леверажная позиция в жилье как классе активов. Дешёвое финансирование с государственной гарантией. Вычитаемый процент в первые годы. И исключение капитального прироста на $250 000-$500 000 при продаже. Вьетнам, Россия и Таиланд имеют совсем другие ипотечные и налоговые режимы. Американская конфигурация — это конкретный институциональный выбор. Не свойство капитализма в общем.</w:t>
      </w:r>
    </w:p>
    <w:p w:rsidR="00000000" w:rsidDel="00000000" w:rsidP="00000000" w:rsidRDefault="00000000" w:rsidRPr="00000000" w14:paraId="00000055">
      <w:pPr>
        <w:pStyle w:val="Heading3"/>
        <w:rPr/>
      </w:pPr>
      <w:bookmarkStart w:colFirst="0" w:colLast="0" w:name="_df2la94x2cff" w:id="7"/>
      <w:bookmarkEnd w:id="7"/>
      <w:r w:rsidDel="00000000" w:rsidR="00000000" w:rsidRPr="00000000">
        <w:rPr>
          <w:rtl w:val="0"/>
        </w:rPr>
        <w:t xml:space="preserve">3. Покупай, занимай, умри: как платит верхний 0,1%</w:t>
      </w:r>
    </w:p>
    <w:p w:rsidR="00000000" w:rsidDel="00000000" w:rsidP="00000000" w:rsidRDefault="00000000" w:rsidRPr="00000000" w14:paraId="00000056">
      <w:pPr>
        <w:rPr/>
      </w:pPr>
      <w:r w:rsidDel="00000000" w:rsidR="00000000" w:rsidRPr="00000000">
        <w:rPr>
          <w:rtl w:val="0"/>
        </w:rPr>
        <w:t xml:space="preserve">Если жильё — водораздел внутри широкого среднего класса, то водораздел между верхним 1% и всеми остальными в США — это то, что советники по богатству называют стратегией </w:t>
      </w:r>
      <w:r w:rsidDel="00000000" w:rsidR="00000000" w:rsidRPr="00000000">
        <w:rPr>
          <w:i w:val="1"/>
          <w:iCs w:val="1"/>
          <w:rtl w:val="0"/>
        </w:rPr>
        <w:t xml:space="preserve">buy, borrow, die</w:t>
      </w:r>
      <w:r w:rsidDel="00000000" w:rsidR="00000000" w:rsidRPr="00000000">
        <w:rPr>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Логика такая. Свои возросшие в цене активы ты не продаёшь — потому что продажа триггерит налог на прирост капитала. Вместо этого ты берёшь под них кредит. Залогом служат портфели акций или недвижимости. Современный private banking предлагает эти кредитные линии (securities-based lines of credit) под 2-5% в нормальных монетарных условиях, а ультра-богатым клиентам — ещё ниже. Поступления от кредита ты тратишь на что угодно. Включая новые инвестиции. Когда умираешь — наследники получают активы с обновлением налоговой базы. Базовая стоимость переустанавливается на стоимость на дату смерти. Весь встроенный прирост стирается. Изначальный кредит выплачивается из наследства. Подоходный налог никогда никем не платился. Весь рост стоимости переходит наследникам без налогов.</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Эта стратегия специфична для американского налогового кодекса. В юрисдикциях с агрессивным налогообложением наследства (Германия, Франция, Япония, частично Великобритания) версии этой динамики значительно слабее — потому что событие смерти триггерит налог, а не стирает его. В России доминирующая стратегия сохранения богатства для очень богатых выглядит совсем иначе. Держать активы за рубежом через номиналов. Принимать издержки политической защиты, которые приходят с сотрудничеством со связанными с государством акторами. Относиться к российским активам как к инструменту, а не как к основному хранилищу. Во Вьетнаме, где концентрация богатства ниже, а налогообложение наследства устроено иначе, стратегия в основном не применяется. То, что я описываю ниже, — это американская специфическая версия. Базовый принцип (капитал, который может откладывать налог бессрочно, накапливается почти без налоговой стоимости) обобщается только там, где местный налоговый кодекс это позволяет.</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Расследование ProPublica записей IRS в 2021 году сделало американское следствие конкретным. Они сравнили федеральные налоги, уплаченные за 2014-2018, с фактическим ростом чистой стоимости активов за тот же период. И посчитали так называемые «истинные налоговые ставки»:</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Топ-25 богатейших американцев совокупно увидели рост богатства на $401 миллиард и заплатили $13,6 миллиарда федерального подоходного налога. Истинная ставка — 3,4%.</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Истинная ставка Уоррена Баффета за тот период — 0,1%.</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Джефф Безос заплатил $1,4 миллиарда на $127 миллиардов роста богатства. Истинная ставка — 1,1%.</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Истинная ставка Майкла Блумберга — 1,3%.</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Илон Маск в 2018 году вообще не заплатил федерального подоходного налога.</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Методологическая оговорка, которую ProPublica сама оговорила. Знаменатель «истинной налоговой ставки» включает нереализованный прирост — рост стоимости активов, которые ещё не были проданы. А налоговые ставки в США исторически считаются не так. По текущему американскому налоговому закону нереализованный прирост не облагается налогом до реализации. Критики этой рамки говорят: сравнение идёт со знаменателем, который закон явно не облагает. Контраргумент в том, что экономическая выгода реальна, признаёт её налоговый кодекс или нет. И вопрос как раз в том, производит ли выбор кодекса игнорировать нереализованный прирост ровно тот паттерн концентрации богатства, который задокументирован выше. В любом случае — цифры есть цифры.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Для сравнения: американское домохозяйство, зарабатывающее $50 000-$100 000 в год, обычно платит федеральную эффективную ставку 13-22% со своих гораздо меньших экономических выигрышей. И все они — реализованный доход.</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В стратегии buy-borrow-die ничего не наказуемо как уклонение от налогов. Каждый кусок защищаем сам по себе. Эффект — капитал, который уже накопился, продолжает накапливаться практически без налоговой стоимости. Зарплаты при этом облагаются по текущим ставкам в год, когда они заработаны. На протяжении рабочей жизни эта разница составляет бо́льшую часть того, что отделяет среднеклассовое построение богатства от верхнеклассового. Ещё до того, как в картину входит вопрос инвестиционного навыка или бизнес-чутья.</w:t>
      </w:r>
    </w:p>
    <w:p w:rsidR="00000000" w:rsidDel="00000000" w:rsidP="00000000" w:rsidRDefault="00000000" w:rsidRPr="00000000" w14:paraId="00000069">
      <w:pPr>
        <w:pStyle w:val="Heading3"/>
        <w:rPr/>
      </w:pPr>
      <w:bookmarkStart w:colFirst="0" w:colLast="0" w:name="_jrplzkrjr5gu" w:id="8"/>
      <w:bookmarkEnd w:id="8"/>
      <w:r w:rsidDel="00000000" w:rsidR="00000000" w:rsidRPr="00000000">
        <w:rPr>
          <w:rtl w:val="0"/>
        </w:rPr>
        <w:t xml:space="preserve">4. Индивидуальное несение риска в пенсии: миграция DB-DC и её обобщение</w:t>
      </w:r>
    </w:p>
    <w:p w:rsidR="00000000" w:rsidDel="00000000" w:rsidP="00000000" w:rsidRDefault="00000000" w:rsidRPr="00000000" w14:paraId="0000006A">
      <w:pPr>
        <w:rPr/>
      </w:pPr>
      <w:r w:rsidDel="00000000" w:rsidR="00000000" w:rsidRPr="00000000">
        <w:rPr>
          <w:rtl w:val="0"/>
        </w:rPr>
        <w:t xml:space="preserve">Четвёртый канал — </w:t>
      </w:r>
      <w:r w:rsidDel="00000000" w:rsidR="00000000" w:rsidRPr="00000000">
        <w:rPr>
          <w:i w:val="1"/>
          <w:iCs w:val="1"/>
          <w:rtl w:val="0"/>
        </w:rPr>
        <w:t xml:space="preserve">индивидуальное несение риска в пенсии</w:t>
      </w:r>
      <w:r w:rsidDel="00000000" w:rsidR="00000000" w:rsidRPr="00000000">
        <w:rPr>
          <w:rtl w:val="0"/>
        </w:rPr>
        <w:t xml:space="preserve">. Принцип структурный: кто несёт рыночный риск, риск долголетия и риск тайминга, связанные с пенсионным доходом. На практике существуют две конфигурации. При </w:t>
      </w:r>
      <w:r w:rsidDel="00000000" w:rsidR="00000000" w:rsidRPr="00000000">
        <w:rPr>
          <w:i w:val="1"/>
          <w:iCs w:val="1"/>
          <w:rtl w:val="0"/>
        </w:rPr>
        <w:t xml:space="preserve">коллективном несении риска</w:t>
      </w:r>
      <w:r w:rsidDel="00000000" w:rsidR="00000000" w:rsidRPr="00000000">
        <w:rPr>
          <w:rtl w:val="0"/>
        </w:rPr>
        <w:t xml:space="preserve"> работодатель (или в некоторых системах — государство) обещает определённый пенсионный доход и поглощает дисперсию. При </w:t>
      </w:r>
      <w:r w:rsidDel="00000000" w:rsidR="00000000" w:rsidRPr="00000000">
        <w:rPr>
          <w:i w:val="1"/>
          <w:iCs w:val="1"/>
          <w:rtl w:val="0"/>
        </w:rPr>
        <w:t xml:space="preserve">индивидуальном несении риска</w:t>
      </w:r>
      <w:r w:rsidDel="00000000" w:rsidR="00000000" w:rsidRPr="00000000">
        <w:rPr>
          <w:rtl w:val="0"/>
        </w:rPr>
        <w:t xml:space="preserve"> работник несёт все три риска на личном счёте; на пенсии у него столько, сколько дал рынок. Сдвиг США от гарантированных (DB) к индивидуальным накопительным (DC) планам с 1980 года — самый чистый исторический пример того, как общество мигрирует работников из первой конфигурации во вторую. Но для большинства читателей этой статьи конечная точка — это стартовое условие, не переход.</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В послевоенный период и до 1980-х пенсия в США устроена была как </w:t>
      </w:r>
      <w:r w:rsidDel="00000000" w:rsidR="00000000" w:rsidRPr="00000000">
        <w:rPr>
          <w:i w:val="1"/>
          <w:iCs w:val="1"/>
          <w:rtl w:val="0"/>
        </w:rPr>
        <w:t xml:space="preserve">гарантированная</w:t>
      </w:r>
      <w:r w:rsidDel="00000000" w:rsidR="00000000" w:rsidRPr="00000000">
        <w:rPr>
          <w:rtl w:val="0"/>
        </w:rPr>
        <w:t xml:space="preserve"> (defined benefit, DB). Работодатель обещал тебе конкретный ежемесячный платёж пожизненно начиная с пенсии. Размер платежа считался от твоей зарплаты и стажа. Риск того, что это обещание окажется дорогим (рыночные обвалы, долголетие, инфляция), нёс работодатель. С начала 1980-х американские работодатели массово переключились на </w:t>
      </w:r>
      <w:r w:rsidDel="00000000" w:rsidR="00000000" w:rsidRPr="00000000">
        <w:rPr>
          <w:i w:val="1"/>
          <w:iCs w:val="1"/>
          <w:rtl w:val="0"/>
        </w:rPr>
        <w:t xml:space="preserve">индивидуальные накопительные планы</w:t>
      </w:r>
      <w:r w:rsidDel="00000000" w:rsidR="00000000" w:rsidRPr="00000000">
        <w:rPr>
          <w:rtl w:val="0"/>
        </w:rPr>
        <w:t xml:space="preserve"> (defined contribution, DC), в основном 401(k). Работодатель кладёт на твой индивидуальный счёт фиксированную сумму (часто как софинансирование твоих собственных взносов). Дальше инвестиции выбираешь ты. Рыночный риск несёшь ты. Риск долголетия (то, что ты проживёшь дольше, чем твои накопления) — тоже ты. Риск тайминга (рынок упадёт ровно к твоему выходу на пенсию) — ты. На пенсии у тебя есть то, что есть. Если не хватает — это твоя проблема.</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В 1980-м в гарантированных пенсиях участвовало около 38% американских частных работников. К 2008-му доля упала до 20%. К марту 2024-го только 15% частных работников вообще имели доступ к гарантированному плану.[19][20] Большинство оставшихся гарантированных планов сосредоточены в государственном секторе и юнионизированных отраслях. (Заметка про остаток: многие сохранившиеся DB-планы, особенно штатные и муниципальные, недофинансированы; «изоляция» бенефициаров DB частична и подвержена платёжеспособности плана.)</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Сдвиг DB-DC был, парадигматически, движением от коллективного несения риска к индивидуальному в пенсионной безопасности. Для американских работников, проживших его, это дискретная потеря, измеримая против предыдущего соглашения. Для работников вне этой рамки — самозанятых, экспатов, вьетнамских владельцев малого бизнеса, и нового глобального класса фрилансеров и основателей — никакого предыдущего соглашения, которое можно было бы потерять, не было, потому что в их рабочей жизни оно никогда не существовало. Позиция индивидуального несения риска, к которой DB-DC мигрирует американских работников, — это дефолтное стартовое условие для большинства читателей этой статьи. Канал описывает их пункт назначения, не их переход.</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Это различие имеет аналитическое значение. Миграция DB-DC — это самый чистый исторический инстанс канала, потому что институциональное изменение задокументировано, датировано и измеримо. Но описываемая структурная черта шире: в любом обществе, где пенсионная безопасность всё больше несётся индивидуальными счетами, а не коллективными обещаниями, следствие концентрации богатства проявляется везде, где участники различаются по финансовой грамотности, размеру комиссий, поведенческой дисциплине и доступу к качественным инвестиционным инструментам. Американский кейс показывает это эмпирически. Для обществ, которые DB-инфраструктуру никогда не строили (большая часть постсоветской России, современный Вьетнам, бо́льшая часть Юго-Восточной Азии для неформального большинства), та же логика индивидуального несения риска — это default, просто без видимого перехода.</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Что касается американского следствия концентрации, оно двойное. Во-первых, сама миграция риска переносит ценность. Когда работодатели перестают гарантировать пенсии, долгосрочное обязательство, которое они несли на балансах, исчезает. Соответствующее ожидаемое богатство либо появляется в виде более высокой нераспределённой прибыли (которая течёт к акционерам), либо вообще не появляется как компенсация работника. Во-вторых, рыночная экспозиция накапливает неравенство среди участников DC-планов. Инвестиционные возвраты сильно зависят от финансовой грамотности, размера комиссий и поведенческой дисциплины. Vanguard в отчёте «How America Saves 2025» сообщает медианный баланс 401(k) у участников 65 лет и старше — $95 425.[21] При стандартной 4% безопасной норме изъятия это даёт около $3 800 в год пенсионного дохода. Против медианного дохода домохозяйства до пенсии в районе $80 000.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Совокупное перераспределение от наёмных домохозяйств в сторону акционеров значительное (десятилетия обязательств, снятых с корпоративных балансов, десятилетия рыночного риска, переложенного на индивидуальные счета), и оно произошло без единого решающего политического момента, вокруг которого мог бы организоваться публичный дискурс. Гендерная версия того же эффекта заслуживает названия: женщины испытывают шорt-фоллы в DC-планах чаще, чем мужчины, потому что перерывы в карьере на уход за детьми сжимают годы и суммы взносов, а большая продолжительность женской жизни растягивает тот же баланс на больше пенсионных лет. Миграция гендерно-нейтральна на бумаге и гендерна на практике.</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Для читателей в позиции самозанятого, основателя или кочевника: лежащее в основе наблюдение (индивидуальное несение риска для пенсии) — это условие, в котором ты уже работаешь. Приемлемо ли оно, оптимально ли, стоит ли пытаться построить частные эквиваленты — трансграничные пенсионные счета, личные пенсии на основе акций, продуктивный бизнес-капитал, недвижимость, диверсифицированную по юрисдикциям — это практический вопрос, который канал поднимает, но не решает.</w:t>
      </w:r>
    </w:p>
    <w:p w:rsidR="00000000" w:rsidDel="00000000" w:rsidP="00000000" w:rsidRDefault="00000000" w:rsidRPr="00000000" w14:paraId="00000079">
      <w:pPr>
        <w:pStyle w:val="Heading3"/>
        <w:rPr/>
      </w:pPr>
      <w:bookmarkStart w:colFirst="0" w:colLast="0" w:name="_uj11ncgwc1wf" w:id="9"/>
      <w:bookmarkEnd w:id="9"/>
      <w:r w:rsidDel="00000000" w:rsidR="00000000" w:rsidRPr="00000000">
        <w:rPr>
          <w:rtl w:val="0"/>
        </w:rPr>
        <w:t xml:space="preserve">5. Обратные выкупы: корпоративный механизм передачи</w:t>
      </w:r>
    </w:p>
    <w:p w:rsidR="00000000" w:rsidDel="00000000" w:rsidP="00000000" w:rsidRDefault="00000000" w:rsidRPr="00000000" w14:paraId="0000007A">
      <w:pPr>
        <w:rPr/>
      </w:pPr>
      <w:r w:rsidDel="00000000" w:rsidR="00000000" w:rsidRPr="00000000">
        <w:rPr>
          <w:rtl w:val="0"/>
        </w:rPr>
        <w:t xml:space="preserve">Пятая часть — корпоративные обратные выкупы акций (share buybacks). Канал американо-центричный, но с глобальными последствиями для рынка капитала.</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Что такое обратный выкуп. Публичная компания берёт свои деньги и покупает с рынка собственные акции. Количество акций в обращении уменьшается. Стоимость на акцию у оставшихся — растёт. По сути, это способ доставить ценность акционерам без выплаты дивиденда. До 1982 года открытые рыночные обратные выкупы жили в правовой серой зоне. SEC рассматривала их как потенциально манипулятивные. Правило SEC 10b-18, принятое в ноябре 1982-го, дало компаниям безопасную гавань. Не первичный двигатель — разрешающая инфраструктура. Дальше обратные выкупы выросли из маргинальной практики в один из доминирующих способов использования американских корпоративных денежных средств. Двигали этот рост несколько вещей. Сдвиг 1980-90-х к опционной компенсации руководителям (это создало стимул поддерживать цену акции). Налоговая эффективность обратных выкупов против дивидендов. Изменения в теории распределения капитала.</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Масштаб огромный. Компании S&amp;P 500 в 2024 году вместе потратили на обратные выкупы и дивиденды примерно $1,572 триллиона. Темп ускорился в 2025-м: только Q1 2025-го установил квартальный рекорд по обратным выкупам — $293,5 миллиарда, а общий возврат акционерам (выкупы плюс дивиденды) за 12 месяцев, заканчивающихся сентябрём 2025-го, достиг рекордных $1,685 триллиона. Кумулятивные обратные выкупы S&amp;P 500 с 2009-го теперь приближаются к $8 триллионам. Большую долю составляет технологический сектор.</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Структурная значимость для картины неравенства такая. Обратный выкуп — это механизм, который конвертирует операционный денежный поток конкретной компании в рост богатства акционеров. Минуя колонку зарплат. Минуя колонку корпоративных инвестиций. Деньги из экономики не исчезают — они идут к акционерам, которые могут перевложить их в другие активы или новые предприятия. Но конкретная связь между </w:t>
      </w:r>
      <w:r w:rsidDel="00000000" w:rsidR="00000000" w:rsidRPr="00000000">
        <w:rPr>
          <w:i w:val="1"/>
          <w:iCs w:val="1"/>
          <w:rtl w:val="0"/>
        </w:rPr>
        <w:t xml:space="preserve">операционной эффективностью этой компании</w:t>
      </w:r>
      <w:r w:rsidDel="00000000" w:rsidR="00000000" w:rsidRPr="00000000">
        <w:rPr>
          <w:rtl w:val="0"/>
        </w:rPr>
        <w:t xml:space="preserve"> и </w:t>
      </w:r>
      <w:r w:rsidDel="00000000" w:rsidR="00000000" w:rsidRPr="00000000">
        <w:rPr>
          <w:i w:val="1"/>
          <w:iCs w:val="1"/>
          <w:rtl w:val="0"/>
        </w:rPr>
        <w:t xml:space="preserve">компенсацией её собственных работников</w:t>
      </w:r>
      <w:r w:rsidDel="00000000" w:rsidR="00000000" w:rsidRPr="00000000">
        <w:rPr>
          <w:rtl w:val="0"/>
        </w:rPr>
        <w:t xml:space="preserve"> разорвана.</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Уильям Лазоник задокументировал в эссе «Profits Without Prosperity» (Harvard Business Review, 2014) и в последующих работах: компании тратили беспрецедентные суммы на обратные выкупы в периоды, когда они также поднимали цены, давили на зарплаты и увольняли работников. Лазоник прослеживает паттерн до того же сдвига после 1982-го в компенсации руководителей, который выровнял управленческие стимулы с ценой акции. Когда обратные выкупы получили возможность механически поднимать прибыль на акцию, направлять денежные средства на выкуп, а не на зарплаты или НИОКР, стало для многих публичных компаний крупной капитализации рациональным управленческим выбором.</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Глобальное последствие для рынка капитала. Владение этими потоками американского акционерного богатства концентрировано географически и демографически. Верхний 10% американских домохозяйств владел 87% корпоративных акций и долей паевых фондов на второй квартал 2025-го. Верхний 1% держит 50% всего акционерного рынка. Иностранные владения (суверенные фонды, иностранные институциональные и частные инвесторы) забирают ещё одну большую долю. Вьетнамское участие домохозяйств в американских акциях — ничтожно. Российское владение иностранными акциями было в значительной степени выведено из правовой системы после 2022-го. Передача обратного выкупа уходит к концентрированной, в основном американо-резидентной базе акционеров. С глобальным наложением, которое не включает наёмный средний класс в большинстве не-американских стран.</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sv2tjx1cf6os" w:id="10"/>
      <w:bookmarkEnd w:id="10"/>
      <w:r w:rsidDel="00000000" w:rsidR="00000000" w:rsidRPr="00000000">
        <w:rPr>
          <w:rtl w:val="0"/>
        </w:rPr>
        <w:t xml:space="preserve">Политическая петля обратной связи</w:t>
      </w:r>
    </w:p>
    <w:p w:rsidR="00000000" w:rsidDel="00000000" w:rsidP="00000000" w:rsidRDefault="00000000" w:rsidRPr="00000000" w14:paraId="00000088">
      <w:pPr>
        <w:rPr/>
      </w:pPr>
      <w:r w:rsidDel="00000000" w:rsidR="00000000" w:rsidRPr="00000000">
        <w:rPr>
          <w:rtl w:val="0"/>
        </w:rPr>
        <w:t xml:space="preserve">Каналы выше описывают, как концентрированное богатство растёт. Но не описывают, почему условия сохраняются десятилетиями, даже когда их распределительные последствия становятся всё более видимыми. Ответ: концентрация богатства имеет тенденцию производить форму политической концентрации, которая защищает условия, её производящие. Индивидуальные ответы не могут изменить политическую конфигурацию, которая производит каналы.</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Это не конспирологическое утверждение. Это наблюдение о том, как политические системы с концентрированной экономической властью реагируют на перераспределительное давление. Паттерн наиболее эмпирически задокументирован в США. Но параллельные динамики видны и в России (где перетасовка олигархов после 2022-го ещё больше сконцентрировала политико-экономическую власть вокруг связанных с государством семейных сетей), и в Таиланде (где земельные элиты формировали закон о собственности десятилетиями), и — в меньшей степени, но всё-таки — во Вьетнаме и Китае, где политическая конфигурация другая, но концентрация экономических решений среди связанных акторов сопоставима.</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База данных идеологии, денег в политике и выборов (DIME) Адама Боники в Стэнфорде отслеживает контрибутивные записи американских политических доноров с 1979 года. Анализ показывает: небольшая доля доноров делает непропорционально большую долю заявленных взносов федеральным кандидатам. Анализ Sunlight Foundation выборного цикла 2012-го (организация с тех пор закрылась, данные сохраняют силу как исторический материал) обнаружил: примерно 31 000 человек (меньше 0,01% населения США) внесли около 28% всех отслеживаемых денег в федеральных выборах. Более поздние циклы показывают похожую концентрацию — с растущей, а не сжимающейся долей.</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Переходит ли эта концентрация в результаты политики — это оспаривалось. Анализ Гайленса и Пейджа 2014 года, рассмотревший 1779 федеральных вопросов политики между 1981 и 2002, заключил: экономические элиты и организованные группы интересов бизнеса имели существенное независимое влияние на американские результаты политики. Средние граждане и группы интересов на массовой основе — мало или никакого. Реанализ Омара Башира 2015 года утверждал, что оригинальный метод недооценил влияние медианных перцентилей. Направленный вывод переживает методологический спор: концентрированная экономическая власть производит непропорциональный политический вес.</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Механизмы, через которые течёт влияние, тоже эмпирически обоснованы. Данные Open Secrets документируют десятки миллиардов долларов ежегодных федеральных лоббистских расходов. Агентства, устанавливающие правила для финансового сектора (SEC, ФРС, Минфин), черпают свой старший персонал непропорционально из и обратно в финансовый сектор. Этот паттерн задокументирован в книге Хэкера и Пирсона «Winner-Take-All Politics» (2010). Более тонкая версия работает в производстве нарративов. Университеты, аналитические центры и крупные медиа сами в значительной степени финансируются концентрированным богатством. Гетеродоксные позиции по неравенству (рабочие кооперативы, суверенные фонды богатства, налогообложение земельной стоимости, более агрессивные налоги на наследство) сталкиваются с гораздо более крутым путём к мейнстримной легитимности, чем позиции, защищающие текущую конфигурацию.</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Совокупный эффект — институциональное торможение перераспределительных изменений. Когда динамика уже идёт, сломать её обычно можно либо внешним шоком (война, пандемия, экономический кризис достаточно жёсткий, чтобы вызвать политическую перенастройку), либо устойчивой политической мобилизацией в масштабе, который превосходит обычную политику. Какие именно исторические эпизоды действительно произвели перераспределение — это уже Статья 2.</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v2eiqe6c1m8t" w:id="11"/>
      <w:bookmarkEnd w:id="11"/>
      <w:r w:rsidDel="00000000" w:rsidR="00000000" w:rsidRPr="00000000">
        <w:rPr>
          <w:rtl w:val="0"/>
        </w:rPr>
        <w:t xml:space="preserve">Почему стандартные ответы перестали работать</w:t>
      </w:r>
    </w:p>
    <w:p w:rsidR="00000000" w:rsidDel="00000000" w:rsidP="00000000" w:rsidRDefault="00000000" w:rsidRPr="00000000" w14:paraId="00000096">
      <w:pPr>
        <w:rPr/>
      </w:pPr>
      <w:r w:rsidDel="00000000" w:rsidR="00000000" w:rsidRPr="00000000">
        <w:rPr>
          <w:rtl w:val="0"/>
        </w:rPr>
        <w:t xml:space="preserve">Стандартные ответы, которые финансовые консультанты и мейнстримный экономический дискурс тянут с 1980-х — получи диплом, копи и инвестируй, найди альтернативную систему — изнашиваются в конкретных направлениях.</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Образование было уравнителем. Сейчас — уже нет, по крайней мере, чисто.</w:t>
      </w:r>
      <w:r w:rsidDel="00000000" w:rsidR="00000000" w:rsidRPr="00000000">
        <w:rPr>
          <w:rtl w:val="0"/>
        </w:rPr>
        <w:t xml:space="preserve"> Премия за высшее образование в зарплате статистически ещё существует. Но её чистая ценность, после стоимости получения диплома, существенно сжалась для большой доли выпускников. Цена четырёхлетнего государственного колледжа в США выросла с $7 841 в 1990-м до $21 558 к 2020-му в реальном выражении. Рост на 175% за 30 лет. Общий долг по студенческим кредитам США на четвёртый квартал 2025-го — около $1,84 триллиона. Та же динамика видна в разных формах глобально. Вьетнамские родители тяжело платят за международное образование, которое часто вытягивает выпускников на западные рынки труда, истощая внутренний талант (паттерн, который я разбирал в эссе </w:t>
      </w:r>
      <w:r w:rsidDel="00000000" w:rsidR="00000000" w:rsidRPr="00000000">
        <w:rPr>
          <w:i w:val="1"/>
          <w:iCs w:val="1"/>
          <w:rtl w:val="0"/>
        </w:rPr>
        <w:t xml:space="preserve">AI Is the Greatest Productivity Tool If You Can Afford It</w:t>
      </w:r>
      <w:r w:rsidDel="00000000" w:rsidR="00000000" w:rsidRPr="00000000">
        <w:rPr>
          <w:rtl w:val="0"/>
        </w:rPr>
        <w:t xml:space="preserve"> — пока на английском). Российское высшее образование после 2022-го существенно отрезано от международной академии. Стандартный совет («получи диплом, работай усердно, всё будет хорошо») был описательно верен для конкретного западного послевоенного окна. Это окно существенно закрылось.</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«Просто инвестируй» предполагает, что есть что инвестировать.</w:t>
      </w:r>
      <w:r w:rsidDel="00000000" w:rsidR="00000000" w:rsidRPr="00000000">
        <w:rPr>
          <w:rtl w:val="0"/>
        </w:rPr>
        <w:t xml:space="preserve"> Опрос ФРС об экономическом благополучии домохозяйств (SHED 2024) сообщил: 63% американских взрослых смогли бы покрыть гипотетический $400 экстренный расход исключительно из наличных, сбережений или кредитной карты. Остальные 37% не смогли бы без займа или продажи. Во Вьетнаме средний месячный доход на душу в 2024-м был около $213. Математический совет масштабируется иначе, когда базовый доход отличается на порядок.</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Крипта должна была быть обходным путём. Не стала.</w:t>
      </w:r>
      <w:r w:rsidDel="00000000" w:rsidR="00000000" w:rsidRPr="00000000">
        <w:rPr>
          <w:rtl w:val="0"/>
        </w:rPr>
        <w:t xml:space="preserve"> Изначальный тезис биткоина — это инструмент для распределения финансовой свободы от привратников-институтов к индивидам. Сущностный анализ Glassnode оценивает: примерно 2% сетевых сущностей контролируют около 71% предложения биткоина. Владение биткоином концентрировано сильнее, чем долларовое богатство США, не слабее. Некоторые реальные применения сохраняются — в юрисдикциях с валютным контролем или слабой банковской инфраструктурой (Россия после 2022, Аргентина, Нигерия, Венесуэла, части Юго-Восточной Азии), где стейблкоины предлагают реальную финансовую агентность, которую местная система не даёт. Это не ничто. Но изначальная рамка крипты как структурного уравнителя не подтвердилась.</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rPr/>
      </w:pPr>
      <w:bookmarkStart w:colFirst="0" w:colLast="0" w:name="_6lo0xk3r7q6i" w:id="12"/>
      <w:bookmarkEnd w:id="12"/>
      <w:r w:rsidDel="00000000" w:rsidR="00000000" w:rsidRPr="00000000">
        <w:rPr>
          <w:rtl w:val="0"/>
        </w:rPr>
        <w:t xml:space="preserve">Новейший ускоритель</w:t>
      </w:r>
    </w:p>
    <w:p w:rsidR="00000000" w:rsidDel="00000000" w:rsidP="00000000" w:rsidRDefault="00000000" w:rsidRPr="00000000" w14:paraId="000000A0">
      <w:pPr>
        <w:rPr/>
      </w:pPr>
      <w:r w:rsidDel="00000000" w:rsidR="00000000" w:rsidRPr="00000000">
        <w:rPr>
          <w:rtl w:val="0"/>
        </w:rPr>
        <w:t xml:space="preserve">Самый недавний слой — AI. Доклад Stanford AI Index 2026 сообщает: частные инвестиции в AI в США в 2025-м достигли $285,9 миллиарда. В 23 с лишним раза больше китайских $12,4 миллиарда. Индустрия произвела больше 90% значимых фронтирных моделей в том году. Капитал, необходимый для участия на фронтире (дата-центры, вычислительные кластеры фронтирных лабораторий, вертикально интегрированная цепочка поставок чипов), сидит вне досягаемости для всех, кроме горстки хорошо капитализированных фирм и их инвесторов.</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Этот паттерн соответствует рамке Карлоты Перес из книги «Technological Revolutions and Financial Capital» (2002). Каждая волна капитало-интенсивных технологических изменений концентрирует ренту на слое, который владеет основой. И только потом, когда волна созревает, выигрыши производительности диффундируют шире. Книга Аджемоглу и Джонсона «Power and Progress» (2023) расширяет аргумент с явным вниманием к AI. Распределительные последствия новой технологии не предопределены. Они зависят от того, какие институциональные выборы делаются.</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Как AI-концентрация капитала ложится на каналы, описанные выше — стоит сказать прямо. Это не вводит шестой механизм, скорее усиливает два из пяти уже описанных. </w:t>
      </w:r>
      <w:r w:rsidDel="00000000" w:rsidR="00000000" w:rsidRPr="00000000">
        <w:rPr>
          <w:b w:val="1"/>
          <w:bCs w:val="1"/>
          <w:rtl w:val="0"/>
        </w:rPr>
        <w:t xml:space="preserve">Через Канал 1 (монетарная политика)</w:t>
      </w:r>
      <w:r w:rsidDel="00000000" w:rsidR="00000000" w:rsidRPr="00000000">
        <w:rPr>
          <w:rtl w:val="0"/>
        </w:rPr>
        <w:t xml:space="preserve">: эпоха 2008-2022 с почти нулевыми ставками и количественным смягчением произвела ровно ту капитальную среду, в которой AI-build-out становится возможным — несколько фирм с денежным потоком плюс доступом к equity могут размещать десятки миллиардов в год на дата-центры, поставки чипов и фронтирный compute. То же окно дешёвых денег, которое инфлировало цены жилья и акций, профинансировало capex, который теперь требует фронтир AI. Даже когда ставки выросли после 2022-го, крупнейшие AI-строители финансируют свой build-out из накопленных денег и выпуска equity, чья оценка опирается на предыдущее десятилетие низкоставочной инфляции активов. История AI-capex сидит структурно ниже монетарной политики. </w:t>
      </w:r>
      <w:r w:rsidDel="00000000" w:rsidR="00000000" w:rsidRPr="00000000">
        <w:rPr>
          <w:b w:val="1"/>
          <w:bCs w:val="1"/>
          <w:rtl w:val="0"/>
        </w:rPr>
        <w:t xml:space="preserve">Через Канал 5 (обратные выкупы)</w:t>
      </w:r>
      <w:r w:rsidDel="00000000" w:rsidR="00000000" w:rsidRPr="00000000">
        <w:rPr>
          <w:rtl w:val="0"/>
        </w:rPr>
        <w:t xml:space="preserve">: выигрыши производительности AI, когда они материализуются, идут сначала в корпоративные маржи, потом в распределения акционерам через выкупы и дивиденды, а не в широкое повышение зарплат. Если AI сжимает headcount в категориях когнитивной работы (вопрос, по которому эмпирика ещё развивается, но направленный сигнал есть), экономия на труде проявляется в операционной прибыли; компании с устоявшимися программами обратных выкупов имеют развитые каналы конвертации этой прибыли в рост цены акции, который выигрывает концентрированной equity-владеющей базе, описанной в Канале 5. Инвестиционный цикл AI и захват выигрышей производительности AI оба проходят через ту же самую сантехнику концентрации богатства. Новой сантехники не требуется.</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Как именно AI разворачивается для индивидуальных практиков и рынков труда, я подробно разобрал в трёх других эссе на этом сайте — пока на английском: </w:t>
      </w:r>
      <w:r w:rsidDel="00000000" w:rsidR="00000000" w:rsidRPr="00000000">
        <w:rPr>
          <w:i w:val="1"/>
          <w:iCs w:val="1"/>
          <w:rtl w:val="0"/>
        </w:rPr>
        <w:t xml:space="preserve">AI Is the Greatest Productivity Tool If You Can Afford It</w:t>
      </w:r>
      <w:r w:rsidDel="00000000" w:rsidR="00000000" w:rsidRPr="00000000">
        <w:rPr>
          <w:rtl w:val="0"/>
        </w:rPr>
        <w:t xml:space="preserve"> (апрель 2026) о доступе к капиталу и глобальном измерении неравенства, </w:t>
      </w:r>
      <w:r w:rsidDel="00000000" w:rsidR="00000000" w:rsidRPr="00000000">
        <w:rPr>
          <w:i w:val="1"/>
          <w:iCs w:val="1"/>
          <w:rtl w:val="0"/>
        </w:rPr>
        <w:t xml:space="preserve">The AI Productivity Paradox</w:t>
      </w:r>
      <w:r w:rsidDel="00000000" w:rsidR="00000000" w:rsidRPr="00000000">
        <w:rPr>
          <w:rtl w:val="0"/>
        </w:rPr>
        <w:t xml:space="preserve"> (апрель 2026) о том, почему выигрыши производительности утекают от работников, использующих AI в коммодитизированной когнитивной работе, и </w:t>
      </w:r>
      <w:r w:rsidDel="00000000" w:rsidR="00000000" w:rsidRPr="00000000">
        <w:rPr>
          <w:i w:val="1"/>
          <w:iCs w:val="1"/>
          <w:rtl w:val="0"/>
        </w:rPr>
        <w:t xml:space="preserve">The AI Trade: Winners, Losers, and Defensible Ground</w:t>
      </w:r>
      <w:r w:rsidDel="00000000" w:rsidR="00000000" w:rsidRPr="00000000">
        <w:rPr>
          <w:rtl w:val="0"/>
        </w:rPr>
        <w:t xml:space="preserve"> (май 2026) о четырёх зонах защитимой практики. Работа выше стоит на тех эссе, не повторяет их.</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AI не меняет структурную картину. Он ускоряет каналы концентрации богатства, которые уже работают, — прямее всего канал дешёвых денег для capex и канал корпоративных выкупов. Форма сделки не изменилась.</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uflqc9q89iye" w:id="13"/>
      <w:bookmarkEnd w:id="13"/>
      <w:r w:rsidDel="00000000" w:rsidR="00000000" w:rsidRPr="00000000">
        <w:rPr>
          <w:rtl w:val="0"/>
        </w:rPr>
        <w:t xml:space="preserve">Что я заметил, складывая это вместе</w:t>
      </w:r>
    </w:p>
    <w:p w:rsidR="00000000" w:rsidDel="00000000" w:rsidP="00000000" w:rsidRDefault="00000000" w:rsidRPr="00000000" w14:paraId="000000AC">
      <w:pPr>
        <w:rPr/>
      </w:pPr>
      <w:r w:rsidDel="00000000" w:rsidR="00000000" w:rsidRPr="00000000">
        <w:rPr>
          <w:rtl w:val="0"/>
        </w:rPr>
        <w:t xml:space="preserve">Три наблюдения вышли из работы с этими каналами как с единой картиной, а не как с прочтением о каждом по отдельности.</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Асимметричный перенос риска и вознаграждения (в одних каналах) — и компенсация за риск (в других).</w:t>
      </w:r>
      <w:r w:rsidDel="00000000" w:rsidR="00000000" w:rsidRPr="00000000">
        <w:rPr>
          <w:rtl w:val="0"/>
        </w:rPr>
        <w:t xml:space="preserve"> У каждого из пяти каналов структурная сигнатура одна: </w:t>
      </w:r>
      <w:r w:rsidDel="00000000" w:rsidR="00000000" w:rsidRPr="00000000">
        <w:rPr>
          <w:i w:val="1"/>
          <w:iCs w:val="1"/>
          <w:rtl w:val="0"/>
        </w:rPr>
        <w:t xml:space="preserve">риск движется вниз, вознаграждение движется вверх</w:t>
      </w:r>
      <w:r w:rsidDel="00000000" w:rsidR="00000000" w:rsidRPr="00000000">
        <w:rPr>
          <w:rtl w:val="0"/>
        </w:rPr>
        <w:t xml:space="preserve">. QE защищает держателей активов от риска рецессии и инфлирует цены активов, которые они держат. Жилищное финансирование привилегирует уже владеющих собственников леверажем и налоговым исключением, оценивая новых входящих наружу. Buy-borrow-die позволяет верхним 0,1% откладывать или устранять налоговое обязательство, которое наёмные работники отложить не могут. Сдвиг от гарантированной к индивидуальной пенсии перенёс пенсионный риск с балансов работодателей на индивидуальные счета. Обратные выкупы позволяют корпоративному денежному потоку обходить колонку зарплат и приходить прямо к акционерам.</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Неоклассическое чтение оформляет тот же паттерн иначе. Капитал несёт больше нижестороннего риска, чем наёмный труд (капитал можно стереть в ноль; зарплаты, хоть могут упасть или прекратиться, не превращаются в обязательства, как леверажный собственный капитал). Высокие доходности капитала в нормальные годы — это компенсация за асимметричную экспозицию риска. Этот контраргумент имеет эмпирическую заслугу, особенно для класса основателей и малого бизнеса, где капитал действительно подвергается риску (тема, о которой я часто пишу, прожив на стороне основателя этой системы лет десять). Менее убедителен он для канала buy-borrow-die конкретно — там структура налогового кодекса конвертирует то, что должно быть реальной риско-несущей ролью, в почти безрисковый арбитраж. И для жилищного канала эпохи QE — там неявная подушка центрального банка под цены активов убрала тот самый нижесторонний риск, который должен был оправдать верхнестороннюю компенсацию. Честная сводка такая. Паттерн может быть и «компенсацией за риск» в одних каналах (основательский капитал, реальное владение бизнесом), и «асимметричным переносом» в других (buy-borrow-die, QE-жильё). Пять каналов в моём чтении взвешиваются в сторону последнего. Но серьёзное неоклассическое чтение взвесит их иначе. И это разногласие не разрешается из данных в одиночку.</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Институциональный каскад после 1978-го был специфичен для США.</w:t>
      </w:r>
      <w:r w:rsidDel="00000000" w:rsidR="00000000" w:rsidRPr="00000000">
        <w:rPr>
          <w:rtl w:val="0"/>
        </w:rPr>
        <w:t xml:space="preserve"> Когда отслеживаешь правовые и политические истоки каналов 4 и 5, появляется необычно концентрированное временное окно — 1978-1982. Положение о 401(k) добавлено в 1978-м. Снижения предельных налоговых ставок эпохи Рейгана начались в 1981-м. Правило SEC 10b-18 (безопасная гавань для обратных выкупов) принято в ноябре 1982-го. Закон Гарна-Сент-Жермена о реформе сберегательно-кредитного сектора прошёл в том же году. Ни одно из этих изменений не оформлялось тогда как мера против неравенства. Каждое продавалось на своих собственных технических заслугах. Сорок пять лет спустя — их совместный эффект и есть американское распределение богатства, которое описывает статья. Приватизации России 1990-х шли по другому каскаду. Институциональные выборы Китая эпохи реформ — по третьему. Реформы Đổi Mới Вьетнама (1986) дали заметно другое распределение. Каскад — не универсальный паттерн. Это конкретная институциональная история, которая дала конкретный результат в стране, где она произошла.</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Контр-чтение этого каскада, которое стоит взять всерьёз, опираясь на public-choice традицию, связанную с Манкуром Олсоном и другими, состоит в том, что изменения 1978-1982 были не подарком от элит к элитам, а коррекциями предыдущей институциональной конфигурации, которая сломалась по своим собственным условиям. Контекст 1970-х включал стагфляцию, недофинансированные корпоративные пенсии, чья отчётность годами скрывала обязательства, развал Бреттон-Вудса, обрушение конкурентоспособности американского производства против возрождённой немецкой и японской промышленности, и поколение профсоюзов государственного сектора, чьи зарплатные соглашения опередили производительность во многих муниципалитетах. С этого чтения, положение о 401(k) было ответом на реальную неплатёжеспособность пенсионных планов (и произвело более прозрачную, хотя и индивидуально более рискованную пенсионную систему); Рейгановские снижения налогов — ответом на bracket creep, съедавший реальные зарплаты при инфляции; правило 10b-18 — ответом на правовую неопределённость, которая два десятилетия охлаждала легитимное корпоративное управление денежными средствами. Институциональный каскад был реален, но он был реактивным к предыдущему соглашению, которое уже сломалось, не изобретённым ради обогащения нефорсированного победителя. Эта статья не принимает это чтение, но оно должно быть на столе: каскад произошёл не в вакууме, и многие его отдельные компоненты имели реальные эффективностные обоснования в своё время. Чего каскад не сделал, и чего public-choice чтение менее всего способно объяснить в своих собственных терминах, — это не скорректировал курс, когда его распределительные последствия стали видимы. На этот второй вопрос пытается ответить секция о политической петле обратной связи статьи.</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Стандартные ответы как структурное совпадение, а не решение.</w:t>
      </w:r>
      <w:r w:rsidDel="00000000" w:rsidR="00000000" w:rsidRPr="00000000">
        <w:rPr>
          <w:rtl w:val="0"/>
        </w:rPr>
        <w:t xml:space="preserve"> Все три стандартных ответа (образование, инвестировать, крипта) требуют, как предпосылку, чтобы получатель уже стоял на выгодной стороне дисбалансов, которые произвели каналы. Образование требует капитала или принятия долга. Инвестирование требует бюджетного запаса. Крипта требовала технической и финансовой искушённости, чтобы её рано приобрести. Это структурное совпадение, не заявленный замысел. Решения, которые требуют от получателя уже занимать выгодную позицию, не могут значимо перераспределять. Они могут помочь индивидам на выгодной стороне накапливать своё преимущество. Они не могут сделать ту работу, которую сделали бы политические изменения базовых каналов. Это наблюдается во всех географиях, которые покрывает статья. Тот же совет даёт дико разные результаты, применённый к американскому программисту, российскому экспату в Бангкоке, вьетнамскому владельцу малого бизнеса, тайскому фермеру или китайскому домохозяйству нового среднего класса.</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ncnixkyr2xyn" w:id="14"/>
      <w:bookmarkEnd w:id="14"/>
      <w:r w:rsidDel="00000000" w:rsidR="00000000" w:rsidRPr="00000000">
        <w:rPr>
          <w:rtl w:val="0"/>
        </w:rPr>
        <w:t xml:space="preserve">Владение против заработка, в 2026 году</w:t>
      </w:r>
    </w:p>
    <w:p w:rsidR="00000000" w:rsidDel="00000000" w:rsidP="00000000" w:rsidRDefault="00000000" w:rsidRPr="00000000" w14:paraId="000000BA">
      <w:pPr>
        <w:rPr/>
      </w:pPr>
      <w:r w:rsidDel="00000000" w:rsidR="00000000" w:rsidRPr="00000000">
        <w:rPr>
          <w:rtl w:val="0"/>
        </w:rPr>
        <w:t xml:space="preserve">У структурной картины есть практическое следствие. В послевоенный период </w:t>
      </w:r>
      <w:r w:rsidDel="00000000" w:rsidR="00000000" w:rsidRPr="00000000">
        <w:rPr>
          <w:i w:val="1"/>
          <w:iCs w:val="1"/>
          <w:rtl w:val="0"/>
        </w:rPr>
        <w:t xml:space="preserve">заработок</w:t>
      </w:r>
      <w:r w:rsidDel="00000000" w:rsidR="00000000" w:rsidRPr="00000000">
        <w:rPr>
          <w:rtl w:val="0"/>
        </w:rPr>
        <w:t xml:space="preserve"> (работа на наёмной должности, построение профессионального капитала, благоразумные сбережения и инвестиции) был надёжным путём к устойчивому семейному богатству в богатых демократиях. Путь зарплаты был путём богатства. С примерно 1980-го эти два пути заметно разошлись. </w:t>
      </w:r>
      <w:r w:rsidDel="00000000" w:rsidR="00000000" w:rsidRPr="00000000">
        <w:rPr>
          <w:i w:val="1"/>
          <w:iCs w:val="1"/>
          <w:rtl w:val="0"/>
        </w:rPr>
        <w:t xml:space="preserve">Владение</w:t>
      </w:r>
      <w:r w:rsidDel="00000000" w:rsidR="00000000" w:rsidRPr="00000000">
        <w:rPr>
          <w:rtl w:val="0"/>
        </w:rPr>
        <w:t xml:space="preserve"> (жильё, акции, продуктивные бизнесы, интеллектуальная собственность, доля в компаниях) делает большую часть работы по построению богатства, которую раньше делали зарплаты.</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Заметка о том, что статья недовесила. Многие семьи среднего класса, особенно в 60-90-х перцентилях, строят богатство в первую очередь через канал, на котором структура этой статьи не центрировалась. Закрытый бизнес-капитал. Профессиональные партнёрства. Владение частной практикой. Франшизы. И похожие пути малого бизнеса. Эти формы владения сидят верхом на линии между заработком и владением — владелец малого бизнеса делает и то и другое одновременно. Это усложняет бинарность, которую остальная статья использует. Структурная механика всё равно применяется (бизнес — это капитальный актив, который накапливается). Но условия входа другие. Это сегмент, который занимают многие самостоятельные кочевники, экспаты и основатели. Вьетнамские малые электронной коммерции, тайские семейные бизнесы, российские предприниматели после 2022-го в соседних странах, глобальный класс удалённой фриланс-работы — все где-то на этом спектре.</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Владение несёт реальный риск. Показатели провала малого бизнеса в США — около 50% в течение пяти лет, по данным BLS Business Employment Dynamics. В развивающихся экономиках цифра похожая или выше. Асимметрия между видимыми победами и невидимыми провалами искажает то, как этот путь выглядит в популярных рассказах.</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Но структурный сдвиг означает, что два пути больше не идут по одной траектории. Зарплаты накапливаются с одной скоростью. Капитал — с другой, в целом более высокой. Рабочая жизнь, отданная целиком зарплатам, в 2026 году накапливает заметно меньше богатства, чем накопила бы в 1980-м — в странах, где этот анализ применяется наиболее прямо.</w:t>
      </w:r>
    </w:p>
    <w:p w:rsidR="00000000" w:rsidDel="00000000" w:rsidP="00000000" w:rsidRDefault="00000000" w:rsidRPr="00000000" w14:paraId="000000C1">
      <w:pPr>
        <w:pStyle w:val="Heading3"/>
        <w:rPr/>
      </w:pPr>
      <w:bookmarkStart w:colFirst="0" w:colLast="0" w:name="_mtuusaa8s1rr" w:id="15"/>
      <w:bookmarkEnd w:id="15"/>
      <w:r w:rsidDel="00000000" w:rsidR="00000000" w:rsidRPr="00000000">
        <w:rPr>
          <w:rtl w:val="0"/>
        </w:rPr>
        <w:t xml:space="preserve">А что насчёт высокозарабатывающих наёмных работников?</w:t>
      </w:r>
    </w:p>
    <w:p w:rsidR="00000000" w:rsidDel="00000000" w:rsidP="00000000" w:rsidRDefault="00000000" w:rsidRPr="00000000" w14:paraId="000000C2">
      <w:pPr>
        <w:rPr/>
      </w:pPr>
      <w:r w:rsidDel="00000000" w:rsidR="00000000" w:rsidRPr="00000000">
        <w:rPr>
          <w:rtl w:val="0"/>
        </w:rPr>
        <w:t xml:space="preserve">Здесь живёт разумное возражение. А как же инженер Tesla с $400 000 total comp, юрист в Нью-Йорке на $250 000, программист в Bay Area, который смотрит на индекс Кейс-Шиллер из своего выкупленного дома? Эти люди работают по найму, получают высокие доходы и выглядят как будто у них всё хорошо. Распространяется ли расхождение зарплат-капитала на них?</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Да, но в форме, которую статья должна назвать прямо, а не оставить на додумывание читателю. Три случая стоит развести.</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Случай tech equity.</w:t>
      </w:r>
      <w:r w:rsidDel="00000000" w:rsidR="00000000" w:rsidRPr="00000000">
        <w:rPr>
          <w:rtl w:val="0"/>
        </w:rPr>
        <w:t xml:space="preserve"> Senior software engineer в Meta, Google или Tesla на уровне L5-L6 (E5-E6 в Meta) в 2025-2026 обычно имеет total compensation от $350 000 до $750 000, в зависимости от уровня и performance. По данным Levels.fyi на декабрь 2025-го (self-reported пользователями, со смещением в сторону высоких раскрытий) медианный Google L5 software engineer получал $409 908 total compensation, медиана L6 — $598 251. В Meta медианная E5 total compensation составляла $351K-503K, E6 — $497K-775K.[47] Но разбивка важнее заголовка. Базовая зарплата на этих уровнях обычно составляет $180 000-$250 000. Остальное — RSU (restricted stock units), которые vest'ятся в течение четырёх лет, плюс кэш-бонус. RSU — это не зарплата. Это капитал. Инженер, который пришёл в Meta в 2014-м и держал все vested акции, богат, потому что акции Meta выросли примерно в 8 раз за 11 лет, а не потому что строчка «зарплата» в payslip сделала что-то необычное. Путь «пришёл и держал» — это сильно отобранный исход: инженеры, которые продавали-to-cover на дом в 2018-м, диверсифицировались на $90 в провале 2022-го или ушли в стартап, который не выстрелил, рассказывают другие истории. Структурное утверждение держится для выжившей когорты, но вариация в широкой когорте большая. Это тезис статьи в концентрированной форме — для выживших. Капитальная компонента сделала работу по накоплению богатства, зарплатная покрыла текущие расходы. Tech-инженер структурно — гибрид: наполовину наёмный работник, наполовину владелец капитала. Богатство, которое у него накапливается, накапливается через капитальную половину.</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При этом RSU несут downside, которого у чистых зарплат нет. Когда tech-компании проводят массовые увольнения, сотрудники теряют свои невестenные RSU полностью. Циклы были немалыми: грубые порядки величин по основным трекерам — примерно 200 000 увольнений в tech-секторе США в 2023-м, около 95 000 в 2024-м, примерно 127 000 в 2025-м, в 2026-м темп сопоставимый (отдельные трекеры различаются по охвату и могут расходиться на 30-50% в любом конкретном году).[48] Капитальная компонента, которая на подъёме строит богатство, на спаде испаряется. Это ровно та асимметрия в несении риска, которую обсуждала секция об обязательствах: капитал действительно подвергается риску так, как зарплата нет. Неоклассический аргумент «компенсация за риск» здесь имеет эмпирическую заслугу более очевидно, чем в любом из других пяти каналов статьи.</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Случай HENRY.</w:t>
      </w:r>
      <w:r w:rsidDel="00000000" w:rsidR="00000000" w:rsidRPr="00000000">
        <w:rPr>
          <w:rtl w:val="0"/>
        </w:rPr>
        <w:t xml:space="preserve"> </w:t>
      </w:r>
      <w:r w:rsidDel="00000000" w:rsidR="00000000" w:rsidRPr="00000000">
        <w:rPr>
          <w:i w:val="1"/>
          <w:iCs w:val="1"/>
          <w:rtl w:val="0"/>
        </w:rPr>
        <w:t xml:space="preserve">High Earner, Not Rich Yet</w:t>
      </w:r>
      <w:r w:rsidDel="00000000" w:rsidR="00000000" w:rsidRPr="00000000">
        <w:rPr>
          <w:rtl w:val="0"/>
        </w:rPr>
        <w:t xml:space="preserve"> — «высокозарабатывающий, но ещё не богатый». Термин популяризировал Shawn Tully в Fortune начиная с 2003-го и консолидировал в эссе 2008 года. Описывает домохозяйства с доходом $250 000-$500 000 в дорогих прибрежных метро (Нью-Йорк, Сан-Франциско, Бостон, Лос-Анджелес), которые чувствуют себя комфортно, но не строят generational wealth только из зарплат.[44] Сам Tully в обновлении 2024 года, репортированном Fast Company, пересмотрел диапазон с учётом инфляции вверх: сегодняшние HENRY обычно зарабатывают $375 000-$750 000, и многие не считают себя богатыми. Анализ CNBC от декабря 2023-го, ссылающийся на опрос LendingClub, отчитался: больше половины американцев с доходом свыше $100 000 в год живут «от зарплаты до зарплаты».[49] Математика за этим механическая. Доход домохозяйства в $300 000 на Манхэттене платит около 40% совокупно федеральных, штатных и городских налогов. Потом 30-35% gross на жильё в нормальном районе. Потом $30 000-$50 000 на ребёнка в год на детский сад и частную школу. Реальная норма сбережений часто оседает на 10-15% gross. Реальная, но не трансформационная. Когда HENRY строят богатство, это в подавляющем большинстве идёт через рост стоимости жилья (жилищный канал), через retirement-аккаунты, накапливающиеся в публичных акциях (канал обратных выкупов, питающий их), или через equity в собственной компании, если она есть. Капитальная сторона делает основную часть работы даже на этом уровне дохода.</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Случай чистой зарплаты.</w:t>
      </w:r>
      <w:r w:rsidDel="00000000" w:rsidR="00000000" w:rsidRPr="00000000">
        <w:rPr>
          <w:rtl w:val="0"/>
        </w:rPr>
        <w:t xml:space="preserve"> Узкий слой профессионалов (специалисты-врачи в менее дорогих регионах, старшие государственные служащие, tenured-академики в дешёвых метро) накапливает богатство в основном из зарплаты. Но «в основном» всё равно недооценивает капитальную компоненту. Они покупают дома, которые растут в цене. Делают взносы в 401(k), которые накапливаются на рынке. Та чистая стоимость активов, с которой они выходят на пенсию, отражает эти эффекты, а не саму зарплату. Зарплата платила за жизнь. Активы делали накопление богатства.</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Иначе говоря, высокий зарплатный доход не опровергает расхождения зарплат-капитала. Он производит гибридный случай. Высокозарабатывающий, который структурно — частично наёмный работник, частично владелец капитала. Капитальная сторона, даже на $400 000 total compensation, делает основную часть работы по накоплению богатства. Статья применяется и к этим читателям тоже. Просто из более комфортной точки обзора, с большим количеством опций, какую сторону асимметрии оптимизировать.</w:t>
      </w:r>
    </w:p>
    <w:p w:rsidR="00000000" w:rsidDel="00000000" w:rsidP="00000000" w:rsidRDefault="00000000" w:rsidRPr="00000000" w14:paraId="000000CF">
      <w:pPr>
        <w:pStyle w:val="Heading3"/>
        <w:rPr/>
      </w:pPr>
      <w:bookmarkStart w:colFirst="0" w:colLast="0" w:name="_918vvl4hbxp" w:id="16"/>
      <w:bookmarkEnd w:id="16"/>
      <w:r w:rsidDel="00000000" w:rsidR="00000000" w:rsidRPr="00000000">
        <w:rPr>
          <w:rtl w:val="0"/>
        </w:rPr>
        <w:t xml:space="preserve">Когда работа перестала быть защитой: working poor</w:t>
      </w:r>
    </w:p>
    <w:p w:rsidR="00000000" w:rsidDel="00000000" w:rsidP="00000000" w:rsidRDefault="00000000" w:rsidRPr="00000000" w14:paraId="000000D0">
      <w:pPr>
        <w:rPr/>
      </w:pPr>
      <w:r w:rsidDel="00000000" w:rsidR="00000000" w:rsidRPr="00000000">
        <w:rPr>
          <w:rtl w:val="0"/>
        </w:rPr>
        <w:t xml:space="preserve">У структурной картины есть следствие, которое статья до сих пор обходила прямо. Если зарплата всё хуже превращается в капитал, значит существенная часть работающих людей застревает в режиме, где работа есть, а финансовой безопасности нет. У этого режима есть название.</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В американской статистике это </w:t>
      </w:r>
      <w:r w:rsidDel="00000000" w:rsidR="00000000" w:rsidRPr="00000000">
        <w:rPr>
          <w:i w:val="1"/>
          <w:iCs w:val="1"/>
          <w:rtl w:val="0"/>
        </w:rPr>
        <w:t xml:space="preserve">working poor</w:t>
      </w:r>
      <w:r w:rsidDel="00000000" w:rsidR="00000000" w:rsidRPr="00000000">
        <w:rPr>
          <w:rtl w:val="0"/>
        </w:rPr>
        <w:t xml:space="preserve"> — работающие бедные. Bureau of Labor Statistics определяет их как людей, которые провели не меньше 27 недель в рабочей силе (работая или активно ища работу), но чей доход домохозяйства остался ниже официального уровня бедности. В 2023 году, последнем опубликованном, под определение попало около 6,1 миллиона американцев; уровень working poor составил 3,8% (немного ниже, чем 4,0% в 2022-м, но всё ещё миллионы людей, чья работа не производит финансовой безопасности).[41] Это не безработные. Это люди, которые работают. Иногда на двух или трёх работах. И всё равно живут в финансовой хрупкости.</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В Европе аналогичный показатель — </w:t>
      </w:r>
      <w:r w:rsidDel="00000000" w:rsidR="00000000" w:rsidRPr="00000000">
        <w:rPr>
          <w:i w:val="1"/>
          <w:iCs w:val="1"/>
          <w:rtl w:val="0"/>
        </w:rPr>
        <w:t xml:space="preserve">in-work poverty</w:t>
      </w:r>
      <w:r w:rsidDel="00000000" w:rsidR="00000000" w:rsidRPr="00000000">
        <w:rPr>
          <w:rtl w:val="0"/>
        </w:rPr>
        <w:t xml:space="preserve">, доля занятых людей с доходом ниже 60% медианного по стране. Eurostat в среднем по ЕС даёт 8-9%, в отдельных странах (Румыния, Испания, Италия) — выше.[42] Британский экономист Guy Standing в книге </w:t>
      </w:r>
      <w:r w:rsidDel="00000000" w:rsidR="00000000" w:rsidRPr="00000000">
        <w:rPr>
          <w:i w:val="1"/>
          <w:iCs w:val="1"/>
          <w:rtl w:val="0"/>
        </w:rPr>
        <w:t xml:space="preserve">The Precariat: The New Dangerous Class</w:t>
      </w:r>
      <w:r w:rsidDel="00000000" w:rsidR="00000000" w:rsidRPr="00000000">
        <w:rPr>
          <w:rtl w:val="0"/>
        </w:rPr>
        <w:t xml:space="preserve"> (2011) назвал более широкий класс людей с хронически нестабильной занятостью </w:t>
      </w:r>
      <w:r w:rsidDel="00000000" w:rsidR="00000000" w:rsidRPr="00000000">
        <w:rPr>
          <w:i w:val="1"/>
          <w:iCs w:val="1"/>
          <w:rtl w:val="0"/>
        </w:rPr>
        <w:t xml:space="preserve">прекариатом</w:t>
      </w:r>
      <w:r w:rsidDel="00000000" w:rsidR="00000000" w:rsidRPr="00000000">
        <w:rPr>
          <w:rtl w:val="0"/>
        </w:rPr>
        <w:t xml:space="preserve">.[43] Не все working poor — прекариат, и не весь прекариат беден по абсолютным меркам. Но пересечение большое. Гиг-экономика (Uber, DoorDash, фриланс-платформы, ride-share, food-delivery) производит один из самых чистых современных типов прекариата: формально работа есть, доход временами достаточный, безопасности — нет.</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Это ломает старую бинарность. Раньше предполагалось: бедный — значит не работает, обеспеченный — значит работает. Современная реальность чаще выглядит иначе. Человек работает, иногда интенсивно. А экономическая система не конвертирует усилия в безопасность. Образованные, квалифицированные, способные люди живут в режиме «если в следующем месяце клиент не заплатит, всё становится очень неприятно». Хроническая усталость, ощущение постоянной занятости без продвижения и невозможность планировать дальше квартала — обычные черты этого режима. Описание неудобное — потому что оно знакомо гораздо большему числу людей, чем обычно признаётся в публичном дискурсе.</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Working poor — это не отдельный механизм. Это исход той самой системы пяти каналов, который видишь, когда смотришь снизу. Зарплата всё хуже превращается в капитал, значит у работающего человека нет подушки, значит любая мелочь (болезнь, поломка техники, потеря клиента) выбивает в кризис, значит долгосрочное планирование становится недоступным. Структурно прекариат и владелец активов на верхнем 1% сидят по разные стороны одной и той же асимметрии. Один теряет способность накапливать. Другой накапливает почти автоматически. Пять каналов и режим working poor — это одна и та же картина с разных точек обзора.</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Статья 2 возьмётся за инструменты политики, которые исторически адресовали именно этот сегмент: минимальная зарплата, in-work benefits, Earned Income Tax Credit, предложения по Universal Basic Income, секторальные соглашения и другие. Статья 3 разберёт, как это выглядит одновременно в Юго-Восточной Азии, в российской диаспоре после 2022-го и на западе — потому что прекариат сейчас глобальный класс, а не западный.</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Если хочешь быстро прочитать свою структурную экспозицию каналам выше — четыре диагностических вопроса. Они не картируют все каналы исчерпывающе. Они покрывают точки экспозиции, на которые большинство читателей могут ответить про себя.</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1"/>
        </w:numPr>
        <w:ind w:left="720" w:hanging="360"/>
      </w:pPr>
      <w:r w:rsidDel="00000000" w:rsidR="00000000" w:rsidRPr="00000000">
        <w:rPr>
          <w:b w:val="1"/>
          <w:bCs w:val="1"/>
          <w:rtl w:val="0"/>
        </w:rPr>
        <w:t xml:space="preserve">Какая доля твоего общего финансового выигрыша за последние 24 месяца пришла из зарплат против роста стоимости активов (жильё, акции, бизнес-капитал, интеллектуальная собственность)?</w:t>
      </w:r>
      <w:r w:rsidDel="00000000" w:rsidR="00000000" w:rsidRPr="00000000">
        <w:rPr>
          <w:rtl w:val="0"/>
        </w:rPr>
        <w:t xml:space="preserve"> Если 95%+ из зарплат — ты идёшь по медленнее накапливающемуся пути. Если значимая доля пришла из роста стоимости активов — ты частично защищён от сжатия.</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0">
      <w:pPr>
        <w:numPr>
          <w:ilvl w:val="0"/>
          <w:numId w:val="1"/>
        </w:numPr>
        <w:ind w:left="720" w:hanging="360"/>
      </w:pPr>
      <w:r w:rsidDel="00000000" w:rsidR="00000000" w:rsidRPr="00000000">
        <w:rPr>
          <w:b w:val="1"/>
          <w:bCs w:val="1"/>
          <w:rtl w:val="0"/>
        </w:rPr>
        <w:t xml:space="preserve">Если твой текущий доход остановится завтра, как долго твои активы смогут поддерживать твои текущие расходы?</w:t>
      </w:r>
      <w:r w:rsidDel="00000000" w:rsidR="00000000" w:rsidRPr="00000000">
        <w:rPr>
          <w:rtl w:val="0"/>
        </w:rPr>
        <w:t xml:space="preserve"> Меньше шести месяцев — ты зависишь от дохода, никакой подушки. Шесть месяцев до двух лет — частичная защита. Больше двух лет — значимое богатство в активах, и твои отношения со структурной картиной — другие.</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2">
      <w:pPr>
        <w:numPr>
          <w:ilvl w:val="0"/>
          <w:numId w:val="1"/>
        </w:numPr>
        <w:ind w:left="720" w:hanging="360"/>
      </w:pPr>
      <w:r w:rsidDel="00000000" w:rsidR="00000000" w:rsidRPr="00000000">
        <w:rPr>
          <w:b w:val="1"/>
          <w:bCs w:val="1"/>
          <w:rtl w:val="0"/>
        </w:rPr>
        <w:t xml:space="preserve">Какая доля твоего накопленного семейного богатства — это капитал в жилье?</w:t>
      </w:r>
      <w:r w:rsidDel="00000000" w:rsidR="00000000" w:rsidRPr="00000000">
        <w:rPr>
          <w:rtl w:val="0"/>
        </w:rPr>
        <w:t xml:space="preserve"> Если 70%+ — ты идёшь на жилищном канале: реальный рост богатства, но неликвидный и концентрированный. И выход (даунсайз, переезд, развод) кристаллизует выигрыш на том, что рынок делает в тот квартал.</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4">
      <w:pPr>
        <w:numPr>
          <w:ilvl w:val="0"/>
          <w:numId w:val="1"/>
        </w:numPr>
        <w:ind w:left="720" w:hanging="360"/>
      </w:pPr>
      <w:r w:rsidDel="00000000" w:rsidR="00000000" w:rsidRPr="00000000">
        <w:rPr>
          <w:b w:val="1"/>
          <w:bCs w:val="1"/>
          <w:rtl w:val="0"/>
        </w:rPr>
        <w:t xml:space="preserve">Откуда придёт твоя пенсионная безопасность?</w:t>
      </w:r>
      <w:r w:rsidDel="00000000" w:rsidR="00000000" w:rsidRPr="00000000">
        <w:rPr>
          <w:rtl w:val="0"/>
        </w:rPr>
        <w:t xml:space="preserve"> Гарантированная пенсия (большинство государственных работников в США, некоторые юнионизированные отрасли, какие-то наследственные частные сотрудники, какие-то не-американские государственные схемы) — ты защищён от конкретного канала. Индивидуальный накопительный счёт (401(k), IRA, похожие) — несёшь все три риска (рыночный, долголетия, тайминга), которые канал 4 переложил на индивидов. Или твой план «построй бизнес и продай его», или «диверсифицируй по классам активов и юрисдикциям», или «работай как можно дольше» — это всё конфигурации индивидуального несения риска. Какую из них ты выбрал — само по себе стратегическое решение. Структурная рамка его за тебя не делает.</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Это не тестовые вопросы с правильными ответами. Это координаты. Выбор между путями, где он есть, ограничен доступом к капиталу, семейным происхождением, стадией карьеры, географией и переносимостью риска. Но знать, где ты стоишь, — это предпосылка для любого хода.</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vsv2k4bvyczd" w:id="17"/>
      <w:bookmarkEnd w:id="17"/>
      <w:r w:rsidDel="00000000" w:rsidR="00000000" w:rsidRPr="00000000">
        <w:rPr>
          <w:rtl w:val="0"/>
        </w:rPr>
        <w:t xml:space="preserve">Закрытие</w:t>
      </w:r>
    </w:p>
    <w:p w:rsidR="00000000" w:rsidDel="00000000" w:rsidP="00000000" w:rsidRDefault="00000000" w:rsidRPr="00000000" w14:paraId="000000EA">
      <w:pPr>
        <w:rPr/>
      </w:pPr>
      <w:r w:rsidDel="00000000" w:rsidR="00000000" w:rsidRPr="00000000">
        <w:rPr>
          <w:rtl w:val="0"/>
        </w:rPr>
        <w:t xml:space="preserve">Концентрация богатства 2025-2026 годов — не случайность. Это то, что производят 45 лет накопления </w:t>
      </w:r>
      <w:r w:rsidDel="00000000" w:rsidR="00000000" w:rsidRPr="00000000">
        <w:rPr>
          <w:i w:val="1"/>
          <w:iCs w:val="1"/>
          <w:rtl w:val="0"/>
        </w:rPr>
        <w:t xml:space="preserve">r &gt; g</w:t>
      </w:r>
      <w:r w:rsidDel="00000000" w:rsidR="00000000" w:rsidRPr="00000000">
        <w:rPr>
          <w:rtl w:val="0"/>
        </w:rPr>
        <w:t xml:space="preserve"> через пять конкретных каналов (монетарная политика, жилищное финансирование, buy-borrow-die наверху, миграция от гарантированной к индивидуальной пенсии, обратные выкупы) в США. В адаптированных формах — в других развитых и средне-доходных экономиках. Усиленное самоподкрепляющейся политической петлёй обратной связи. И ускоренное AI в самом недавнем слое.</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Вариация между странами (Россия 48-56% доли верхнего 1% богатства, США 31,7%, Китай около трети, Вьетнам 25%, причём институциональный паттерн Таиланда работает через концентрацию земли, а не через доли финансового богатства) — это прямое свидетельство того, что каналы институциональные, а не природные. Разные институциональные конфигурации производят драматически разные результаты из тех же базовых механизмов.</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Должны ли описанные институты что-то кому-то — этот вопрос статья передала читателю, а не ответила на него. Три позиции доступны. Чтение государства благосостояния говорит «да». Либертарианское — «нет». Эмпирически-прагматическое — что вопрос в том, какие компромиссы каждое общество приняло. Статья 2 возьмётся за политические интервенции, которые исторически снижали концентрацию богатства. Это предполагает какой-то ответ на вопрос об обязательстве и неизбежно занимает позицию. Статья 3 поднимет глобальную картину и сравнительную оптику того, кто наблюдает три экономики одновременно — юго-восточно-азиатскую, российскую после 2022-го и западную.</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Цифра из открытия (верхний 1% на 31,7% в США, 48-56% в России, 25% во Вьетнаме) не описывает проблему с чистым решением. Она описывает то, что делает каждая система на своих текущих настройках. Изменятся ли эти настройки — это в основном политический вопрос в широком смысле слова. Кто решает. От чьего имени. И какими инструментами.</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kavzrx7yzgkq" w:id="18"/>
      <w:bookmarkEnd w:id="18"/>
      <w:r w:rsidDel="00000000" w:rsidR="00000000" w:rsidRPr="00000000">
        <w:rPr>
          <w:rtl w:val="0"/>
        </w:rPr>
        <w:t xml:space="preserve">Источники</w:t>
      </w:r>
    </w:p>
    <w:p w:rsidR="00000000" w:rsidDel="00000000" w:rsidP="00000000" w:rsidRDefault="00000000" w:rsidRPr="00000000" w14:paraId="000000F4">
      <w:pPr>
        <w:rPr/>
      </w:pPr>
      <w:r w:rsidDel="00000000" w:rsidR="00000000" w:rsidRPr="00000000">
        <w:rPr>
          <w:rtl w:val="0"/>
        </w:rPr>
        <w:t xml:space="preserve">[1] Joint Center for Housing Studies of Harvard University. </w:t>
      </w:r>
      <w:r w:rsidDel="00000000" w:rsidR="00000000" w:rsidRPr="00000000">
        <w:rPr>
          <w:i w:val="1"/>
          <w:iCs w:val="1"/>
          <w:rtl w:val="0"/>
        </w:rPr>
        <w:t xml:space="preserve">State of the Nation's Housing 2025</w:t>
      </w:r>
      <w:r w:rsidDel="00000000" w:rsidR="00000000" w:rsidRPr="00000000">
        <w:rPr>
          <w:rtl w:val="0"/>
        </w:rPr>
        <w:t xml:space="preserve">. Соотношение медианной цены дома к медианному доходу в США: 3,2x в 1990-е, 4,1x в 2019-м, 5,0x в 2024-м. </w:t>
      </w:r>
      <w:hyperlink r:id="rId6">
        <w:r w:rsidDel="00000000" w:rsidR="00000000" w:rsidRPr="00000000">
          <w:rPr>
            <w:color w:val="1155cc"/>
            <w:u w:val="single"/>
            <w:rtl w:val="0"/>
          </w:rPr>
          <w:t xml:space="preserve">https://www.jchs.harvard.edu/blog/home-prices-surge-five-times-median-income-nearing-historic-highs</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[2] Federal Reserve Board of Governors. </w:t>
      </w:r>
      <w:r w:rsidDel="00000000" w:rsidR="00000000" w:rsidRPr="00000000">
        <w:rPr>
          <w:i w:val="1"/>
          <w:iCs w:val="1"/>
          <w:rtl w:val="0"/>
        </w:rPr>
        <w:t xml:space="preserve">Distributional Financial Accounts</w:t>
      </w:r>
      <w:r w:rsidDel="00000000" w:rsidR="00000000" w:rsidRPr="00000000">
        <w:rPr>
          <w:rtl w:val="0"/>
        </w:rPr>
        <w:t xml:space="preserve">, Q3 2025. Доля верхнего 1% по богатству — 31,7%, активы $55,83 триллиона. </w:t>
      </w:r>
      <w:hyperlink r:id="rId7">
        <w:r w:rsidDel="00000000" w:rsidR="00000000" w:rsidRPr="00000000">
          <w:rPr>
            <w:color w:val="1155cc"/>
            <w:u w:val="single"/>
            <w:rtl w:val="0"/>
          </w:rPr>
          <w:t xml:space="preserve">https://www.federalreserve.gov/releases/efa/efa-distributional-financial-accounts.htm</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[3] World Inequality Database (wid.world), Russian Federation, серия долей верхнего 1% по богатству; перекрёстно с Credit Suisse Global Wealth Report 2022 (впоследствии UBS Global Wealth Report). Серии WID указывают долю верхнего 1% около 47-48%; оценки Credit Suisse доходят до примерно 56% в зависимости от методологии и обработки офшорного богатства. Диапазон 48-56% отражает это методологическое расхождение и хорошо документированную сложность измерения российской концентрации богатства с учётом крупных офшорных холдингов. См. также: Новокмет, Пикетти, Зукман, «From Soviets to Oligarchs: Inequality and Property in Russia 1905-2016», Journal of Economic Inequality (2018), и Мареева &amp; Слободенюк, «Super-Wealth in Russia: Uneven and Invariable», ECONS.online (март 2024) для контекста. </w:t>
      </w:r>
      <w:hyperlink r:id="rId8">
        <w:r w:rsidDel="00000000" w:rsidR="00000000" w:rsidRPr="00000000">
          <w:rPr>
            <w:color w:val="1155cc"/>
            <w:u w:val="single"/>
            <w:rtl w:val="0"/>
          </w:rPr>
          <w:t xml:space="preserve">https://wid.world/country/russian-federation/</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[4] «Examining inequality through land ownership: top 1% holds 16% of land», The Nation Thailand, август 2025, со ссылкой на исследование Land Watch Thai. Верхний 1% контролирует 16,78% титульной земли по площади и 34,91% по стоимости. </w:t>
      </w:r>
      <w:hyperlink r:id="rId9">
        <w:r w:rsidDel="00000000" w:rsidR="00000000" w:rsidRPr="00000000">
          <w:rPr>
            <w:color w:val="1155cc"/>
            <w:u w:val="single"/>
            <w:rtl w:val="0"/>
          </w:rPr>
          <w:t xml:space="preserve">https://www.nationthailand.com/business/property/40054420</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[5] Stanford Center on China's Economy and Institutions, «The Rise of Wealth, Private Property, and Income Inequality in China». Доля верхнего 10% по богатству ~67-68% (оценки 2015-2024), верхний 1% — около трети национального богатства. </w:t>
      </w:r>
      <w:hyperlink r:id="rId10">
        <w:r w:rsidDel="00000000" w:rsidR="00000000" w:rsidRPr="00000000">
          <w:rPr>
            <w:color w:val="1155cc"/>
            <w:u w:val="single"/>
            <w:rtl w:val="0"/>
          </w:rPr>
          <w:t xml:space="preserve">https://sccei.fsi.stanford.edu/china-briefs/rise-wealth-private-property-and-income-inequality-china</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[6] Phan, V.D. и соавторы, «Wealth Inequality in Vietnam 2012-2020», IARIW 2024 Conference paper, со ссылкой на World Inequality Database. Верхний 10% владеет ~3/5 богатства, верхний 1% — ~четвертью. </w:t>
      </w:r>
      <w:hyperlink r:id="rId11">
        <w:r w:rsidDel="00000000" w:rsidR="00000000" w:rsidRPr="00000000">
          <w:rPr>
            <w:color w:val="1155cc"/>
            <w:u w:val="single"/>
            <w:rtl w:val="0"/>
          </w:rPr>
          <w:t xml:space="preserve">https://iariw.org/wp-content/uploads/2024/07/IARIW_Phan.pdf</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[7] Piketty, Thomas. </w:t>
      </w:r>
      <w:r w:rsidDel="00000000" w:rsidR="00000000" w:rsidRPr="00000000">
        <w:rPr>
          <w:i w:val="1"/>
          <w:iCs w:val="1"/>
          <w:rtl w:val="0"/>
        </w:rPr>
        <w:t xml:space="preserve">Capital in the Twenty-First Century</w:t>
      </w:r>
      <w:r w:rsidDel="00000000" w:rsidR="00000000" w:rsidRPr="00000000">
        <w:rPr>
          <w:rtl w:val="0"/>
        </w:rPr>
        <w:t xml:space="preserve">. Harvard University Press, 2014.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[8] World Inequality Lab. </w:t>
      </w:r>
      <w:r w:rsidDel="00000000" w:rsidR="00000000" w:rsidRPr="00000000">
        <w:rPr>
          <w:i w:val="1"/>
          <w:iCs w:val="1"/>
          <w:rtl w:val="0"/>
        </w:rPr>
        <w:t xml:space="preserve">World Inequality Report 2026</w:t>
      </w:r>
      <w:r w:rsidDel="00000000" w:rsidR="00000000" w:rsidRPr="00000000">
        <w:rPr>
          <w:rtl w:val="0"/>
        </w:rPr>
        <w:t xml:space="preserve">. Под редакцией Lucas Chancel, Ricardo Gómez-Carrera, Rowaida Moshrif, Thomas Piketty. Выпущен 10 декабря 2025. </w:t>
      </w:r>
      <w:hyperlink r:id="rId12">
        <w:r w:rsidDel="00000000" w:rsidR="00000000" w:rsidRPr="00000000">
          <w:rPr>
            <w:color w:val="1155cc"/>
            <w:u w:val="single"/>
            <w:rtl w:val="0"/>
          </w:rPr>
          <w:t xml:space="preserve">https://wir2026.wid.world/</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[9] Acemoglu, Daron, and Simon Johnson. </w:t>
      </w:r>
      <w:r w:rsidDel="00000000" w:rsidR="00000000" w:rsidRPr="00000000">
        <w:rPr>
          <w:i w:val="1"/>
          <w:iCs w:val="1"/>
          <w:rtl w:val="0"/>
        </w:rPr>
        <w:t xml:space="preserve">Power and Progress: Our Thousand-Year Struggle Over Technology and Prosperity</w:t>
      </w:r>
      <w:r w:rsidDel="00000000" w:rsidR="00000000" w:rsidRPr="00000000">
        <w:rPr>
          <w:rtl w:val="0"/>
        </w:rPr>
        <w:t xml:space="preserve">. PublicAffairs, 2023. Аджемоглу разделил Нобелевскую премию по экономике 2024 года за работу об институтах и экономическом росте.</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[10] Burg, Paul. «Vietnam Between the Village and the Megacity». paulburg.com, март 2026. Рамка сжатой модернизации (Чанг Кёнг Суп), вьетнамская трансформация 1990-2024, традиция домов-тубусов, 40 миллионов поднятых из бедности 1993-2014. (На английском.) </w:t>
      </w:r>
      <w:hyperlink r:id="rId13">
        <w:r w:rsidDel="00000000" w:rsidR="00000000" w:rsidRPr="00000000">
          <w:rPr>
            <w:color w:val="1155cc"/>
            <w:u w:val="single"/>
            <w:rtl w:val="0"/>
          </w:rPr>
          <w:t xml:space="preserve">https://paulburg.com/blog/vietnam-urban-transformation</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[11] S&amp;P Cotality Case-Shiller US National Home Price Index. Q1 2012 минимум 113,89, январь 2026 — 326,61. Серия CSUSHPINSA, FRED. </w:t>
      </w:r>
      <w:hyperlink r:id="rId14">
        <w:r w:rsidDel="00000000" w:rsidR="00000000" w:rsidRPr="00000000">
          <w:rPr>
            <w:color w:val="1155cc"/>
            <w:u w:val="single"/>
            <w:rtl w:val="0"/>
          </w:rPr>
          <w:t xml:space="preserve">https://fred.stlouisfed.org/series/CSUSHPINSA</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[12] US Bureau of Labor Statistics. Average Hourly Earnings of All Employees, Total Private. Серия CES0500000003, FRED.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[13] Federal Reserve. </w:t>
      </w:r>
      <w:r w:rsidDel="00000000" w:rsidR="00000000" w:rsidRPr="00000000">
        <w:rPr>
          <w:i w:val="1"/>
          <w:iCs w:val="1"/>
          <w:rtl w:val="0"/>
        </w:rPr>
        <w:t xml:space="preserve">2013 Survey of Consumer Finances</w:t>
      </w:r>
      <w:r w:rsidDel="00000000" w:rsidR="00000000" w:rsidRPr="00000000">
        <w:rPr>
          <w:rtl w:val="0"/>
        </w:rPr>
        <w:t xml:space="preserve">. Медианное чистое богатство домохозяйства США в 2013 году — ~$81 400. </w:t>
      </w:r>
      <w:hyperlink r:id="rId15">
        <w:r w:rsidDel="00000000" w:rsidR="00000000" w:rsidRPr="00000000">
          <w:rPr>
            <w:color w:val="1155cc"/>
            <w:u w:val="single"/>
            <w:rtl w:val="0"/>
          </w:rPr>
          <w:t xml:space="preserve">https://www.federalreserve.gov/pubs/bulletin/2014/pdf/scf14.pdf</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[14] То же что [4], исследование Land Watch Thai по концентрации землевладения, 2025.</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[15] Phan и соавторы (2024), IARIW paper. Драйверы неравенства богатства во Вьетнаме: стоимость жилья и товаров длительного пользования, сельско-городские и этнические деления.</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[16] National Association of Realtors. </w:t>
      </w:r>
      <w:r w:rsidDel="00000000" w:rsidR="00000000" w:rsidRPr="00000000">
        <w:rPr>
          <w:i w:val="1"/>
          <w:iCs w:val="1"/>
          <w:rtl w:val="0"/>
        </w:rPr>
        <w:t xml:space="preserve">Profile of Home Buyers and Sellers, 2024</w:t>
      </w:r>
      <w:r w:rsidDel="00000000" w:rsidR="00000000" w:rsidRPr="00000000">
        <w:rPr>
          <w:rtl w:val="0"/>
        </w:rPr>
        <w:t xml:space="preserve">. </w:t>
      </w:r>
      <w:hyperlink r:id="rId16">
        <w:r w:rsidDel="00000000" w:rsidR="00000000" w:rsidRPr="00000000">
          <w:rPr>
            <w:color w:val="1155cc"/>
            <w:u w:val="single"/>
            <w:rtl w:val="0"/>
          </w:rPr>
          <w:t xml:space="preserve">https://www.nar.realtor/newsroom/first-time-home-buyers-shrink-to-historic-low-of-24-as-buyer-age-hits-record-high</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[17] То же что [16]. 62% всех покупателей жилья — женатые пары, медианный доход домохозяйства покупателя $108 800 (2023), медианный доход домохозяйства США — ~$80 000.</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[18] Eisinger, Jesse, Jeff Ernsthausen, Paul Kiel. «The Secret IRS Files: Trove of Never-Before-Seen Records Reveal How the Wealthiest Avoid Income Tax». ProPublica, 8 июня 2021. </w:t>
      </w:r>
      <w:hyperlink r:id="rId17">
        <w:r w:rsidDel="00000000" w:rsidR="00000000" w:rsidRPr="00000000">
          <w:rPr>
            <w:color w:val="1155cc"/>
            <w:u w:val="single"/>
            <w:rtl w:val="0"/>
          </w:rPr>
          <w:t xml:space="preserve">https://www.propublica.org/article/the-secret-irs-files-trove-of-never-before-seen-records-reveal-how-the-wealthiest-avoid-income-tax</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[19] Bureau of Labor Statistics. </w:t>
      </w:r>
      <w:r w:rsidDel="00000000" w:rsidR="00000000" w:rsidRPr="00000000">
        <w:rPr>
          <w:i w:val="1"/>
          <w:iCs w:val="1"/>
          <w:rtl w:val="0"/>
        </w:rPr>
        <w:t xml:space="preserve">National Compensation Survey: Employee Benefits in the United States, March 2024</w:t>
      </w:r>
      <w:r w:rsidDel="00000000" w:rsidR="00000000" w:rsidRPr="00000000">
        <w:rPr>
          <w:rtl w:val="0"/>
        </w:rPr>
        <w:t xml:space="preserve">. 15% частных работников имели доступ к гарантированному пенсионному плану. </w:t>
      </w:r>
      <w:hyperlink r:id="rId18">
        <w:r w:rsidDel="00000000" w:rsidR="00000000" w:rsidRPr="00000000">
          <w:rPr>
            <w:color w:val="1155cc"/>
            <w:u w:val="single"/>
            <w:rtl w:val="0"/>
          </w:rPr>
          <w:t xml:space="preserve">https://www.bls.gov/opub/ted/2025/31-percent-of-workers-in-financial-activities-had-access-to-a-defined-benefit-retirement-plan.htm</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[20] Butrica, Iams, Smith, Toder, «The Disappearing Defined Benefit Pension and Its Potential Impact on the Retirement Incomes of Baby Boomers», Social Security Bulletin Vol. 69 No. 3, 2009. </w:t>
      </w:r>
      <w:hyperlink r:id="rId19">
        <w:r w:rsidDel="00000000" w:rsidR="00000000" w:rsidRPr="00000000">
          <w:rPr>
            <w:color w:val="1155cc"/>
            <w:u w:val="single"/>
            <w:rtl w:val="0"/>
          </w:rPr>
          <w:t xml:space="preserve">https://www.ssa.gov/policy/docs/ssb/v69n3/v69n3p1.html</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[21] Vanguard. </w:t>
      </w:r>
      <w:r w:rsidDel="00000000" w:rsidR="00000000" w:rsidRPr="00000000">
        <w:rPr>
          <w:i w:val="1"/>
          <w:iCs w:val="1"/>
          <w:rtl w:val="0"/>
        </w:rPr>
        <w:t xml:space="preserve">How America Saves 2025</w:t>
      </w:r>
      <w:r w:rsidDel="00000000" w:rsidR="00000000" w:rsidRPr="00000000">
        <w:rPr>
          <w:rtl w:val="0"/>
        </w:rPr>
        <w:t xml:space="preserve">. Конец 2024 года: медианный баланс 401(k) для участников 65 лет и старше — $95 425. </w:t>
      </w:r>
      <w:hyperlink r:id="rId20">
        <w:r w:rsidDel="00000000" w:rsidR="00000000" w:rsidRPr="00000000">
          <w:rPr>
            <w:color w:val="1155cc"/>
            <w:u w:val="single"/>
            <w:rtl w:val="0"/>
          </w:rPr>
          <w:t xml:space="preserve">https://institutional.vanguard.com/insights-and-research/research/how-america-saves.html</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[22] S&amp;P Dow Jones Indices. </w:t>
      </w:r>
      <w:r w:rsidDel="00000000" w:rsidR="00000000" w:rsidRPr="00000000">
        <w:rPr>
          <w:i w:val="1"/>
          <w:iCs w:val="1"/>
          <w:rtl w:val="0"/>
        </w:rPr>
        <w:t xml:space="preserve">S&amp;P 500 Q4 2024 Buybacks Increase 7.4% and 2024 Expenditure Sets New Record</w:t>
      </w:r>
      <w:r w:rsidDel="00000000" w:rsidR="00000000" w:rsidRPr="00000000">
        <w:rPr>
          <w:rtl w:val="0"/>
        </w:rPr>
        <w:t xml:space="preserve">, 19 марта 2025. Общий возврат акционерам в 2024 году — $1,572 триллиона. Q1 2025-го установил квартальный рекорд обратных выкупов в $293,5 миллиарда; за 12 месяцев, заканчивающихся сентябрём 2025-го, общий возврат акционерам достиг рекордных $1,685 триллиона по релизу S&amp;P DJI Q3 2025 (18 декабря 2025-го). </w:t>
      </w:r>
      <w:hyperlink r:id="rId21">
        <w:r w:rsidDel="00000000" w:rsidR="00000000" w:rsidRPr="00000000">
          <w:rPr>
            <w:color w:val="1155cc"/>
            <w:u w:val="single"/>
            <w:rtl w:val="0"/>
          </w:rPr>
          <w:t xml:space="preserve">https://press.spglobal.com/2025-03-19-S-P-500-Q4-2024-Buybacks-Increase-7-4-and-2024-Expenditure-Sets-New-Record-by-Increasing-18-5</w:t>
        </w:r>
      </w:hyperlink>
      <w:r w:rsidDel="00000000" w:rsidR="00000000" w:rsidRPr="00000000">
        <w:rPr>
          <w:rtl w:val="0"/>
        </w:rPr>
        <w:t xml:space="preserve"> и </w:t>
      </w:r>
      <w:hyperlink r:id="rId22">
        <w:r w:rsidDel="00000000" w:rsidR="00000000" w:rsidRPr="00000000">
          <w:rPr>
            <w:color w:val="1155cc"/>
            <w:u w:val="single"/>
            <w:rtl w:val="0"/>
          </w:rPr>
          <w:t xml:space="preserve">https://www.spglobal.com/spdji/en/corporate-news/article/sp-500-q3-2025-buybacks-post-modest-62-gain-to-249-0-billion-after-declining-20-1-amidst-uncertainty-in-q2/</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[23] Lazonick, William. «Profits Without Prosperity». </w:t>
      </w:r>
      <w:r w:rsidDel="00000000" w:rsidR="00000000" w:rsidRPr="00000000">
        <w:rPr>
          <w:i w:val="1"/>
          <w:iCs w:val="1"/>
          <w:rtl w:val="0"/>
        </w:rPr>
        <w:t xml:space="preserve">Harvard Business Review</w:t>
      </w:r>
      <w:r w:rsidDel="00000000" w:rsidR="00000000" w:rsidRPr="00000000">
        <w:rPr>
          <w:rtl w:val="0"/>
        </w:rPr>
        <w:t xml:space="preserve">, сентябрь 2014. </w:t>
      </w:r>
      <w:hyperlink r:id="rId23">
        <w:r w:rsidDel="00000000" w:rsidR="00000000" w:rsidRPr="00000000">
          <w:rPr>
            <w:color w:val="1155cc"/>
            <w:u w:val="single"/>
            <w:rtl w:val="0"/>
          </w:rPr>
          <w:t xml:space="preserve">https://hbr.org/2014/09/profits-without-prosperity</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[24] Federal Reserve Distributional Financial Accounts, Q2 2025. Верхний 10% держит ~87% корпоративных акций и долей паевых фондов США, верхний 1% — ~50% акционерного богатства. </w:t>
      </w:r>
      <w:hyperlink r:id="rId24">
        <w:r w:rsidDel="00000000" w:rsidR="00000000" w:rsidRPr="00000000">
          <w:rPr>
            <w:color w:val="1155cc"/>
            <w:u w:val="single"/>
            <w:rtl w:val="0"/>
          </w:rPr>
          <w:t xml:space="preserve">https://www.federalreserve.gov/releases/z1/dataviz/dfa/distribute/table/</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[25] CEPR Voxeu, «How the war is increasing inequality in Russia», февраль 2023. Санкции после 2022-го и политическая перетасовка интенсифицировали российскую концентрацию богатства вокруг связанных с государством семейных сетей. </w:t>
      </w:r>
      <w:hyperlink r:id="rId25">
        <w:r w:rsidDel="00000000" w:rsidR="00000000" w:rsidRPr="00000000">
          <w:rPr>
            <w:color w:val="1155cc"/>
            <w:u w:val="single"/>
            <w:rtl w:val="0"/>
          </w:rPr>
          <w:t xml:space="preserve">https://cepr.org/voxeu/columns/how-war-increasing-inequality-russia</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[26] Bonica, Adam. </w:t>
      </w:r>
      <w:r w:rsidDel="00000000" w:rsidR="00000000" w:rsidRPr="00000000">
        <w:rPr>
          <w:i w:val="1"/>
          <w:iCs w:val="1"/>
          <w:rtl w:val="0"/>
        </w:rPr>
        <w:t xml:space="preserve">Database on Ideology, Money in Politics, and Elections</w:t>
      </w:r>
      <w:r w:rsidDel="00000000" w:rsidR="00000000" w:rsidRPr="00000000">
        <w:rPr>
          <w:rtl w:val="0"/>
        </w:rPr>
        <w:t xml:space="preserve"> (DIME), Stanford University Libraries. Public version 4.0, 1979-2024. </w:t>
      </w:r>
      <w:hyperlink r:id="rId26">
        <w:r w:rsidDel="00000000" w:rsidR="00000000" w:rsidRPr="00000000">
          <w:rPr>
            <w:color w:val="1155cc"/>
            <w:u w:val="single"/>
            <w:rtl w:val="0"/>
          </w:rPr>
          <w:t xml:space="preserve">https://data.stanford.edu/dime</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[27] Sunlight Foundation. «The Political 1% of the 1% in 2012». </w:t>
      </w:r>
      <w:hyperlink r:id="rId27">
        <w:r w:rsidDel="00000000" w:rsidR="00000000" w:rsidRPr="00000000">
          <w:rPr>
            <w:color w:val="1155cc"/>
            <w:u w:val="single"/>
            <w:rtl w:val="0"/>
          </w:rPr>
          <w:t xml:space="preserve">https://sunlightfoundation.com/2014/04/17/american-oligarchy-how-the-preferences-of-elites-shape-policy-outcomes/</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[28] Gilens, Martin, Benjamin I. Page. «Testing Theories of American Politics: Elites, Interest Groups, and Average Citizens». </w:t>
      </w:r>
      <w:r w:rsidDel="00000000" w:rsidR="00000000" w:rsidRPr="00000000">
        <w:rPr>
          <w:i w:val="1"/>
          <w:iCs w:val="1"/>
          <w:rtl w:val="0"/>
        </w:rPr>
        <w:t xml:space="preserve">Perspectives on Politics</w:t>
      </w:r>
      <w:r w:rsidDel="00000000" w:rsidR="00000000" w:rsidRPr="00000000">
        <w:rPr>
          <w:rtl w:val="0"/>
        </w:rPr>
        <w:t xml:space="preserve">, vol. 12 no. 3 (сентябрь 2014), pp. 564-581.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[29] Bashir, Omar S. «Testing Inferences about American Politics: A Review of the Oligarchy Result». </w:t>
      </w:r>
      <w:r w:rsidDel="00000000" w:rsidR="00000000" w:rsidRPr="00000000">
        <w:rPr>
          <w:i w:val="1"/>
          <w:iCs w:val="1"/>
          <w:rtl w:val="0"/>
        </w:rPr>
        <w:t xml:space="preserve">Research and Politics</w:t>
      </w:r>
      <w:r w:rsidDel="00000000" w:rsidR="00000000" w:rsidRPr="00000000">
        <w:rPr>
          <w:rtl w:val="0"/>
        </w:rPr>
        <w:t xml:space="preserve">, октябрь-декабрь 2015.</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[30] American Enterprise Institute, со ссылкой на College Board </w:t>
      </w:r>
      <w:r w:rsidDel="00000000" w:rsidR="00000000" w:rsidRPr="00000000">
        <w:rPr>
          <w:i w:val="1"/>
          <w:iCs w:val="1"/>
          <w:rtl w:val="0"/>
        </w:rPr>
        <w:t xml:space="preserve">Trends in College Pricing</w:t>
      </w:r>
      <w:r w:rsidDel="00000000" w:rsidR="00000000" w:rsidRPr="00000000">
        <w:rPr>
          <w:rFonts w:ascii="Arial Unicode MS" w:cs="Arial Unicode MS" w:eastAsia="Arial Unicode MS" w:hAnsi="Arial Unicode MS"/>
          <w:rtl w:val="0"/>
        </w:rPr>
        <w:t xml:space="preserve">. Цена четырёхлетнего государственного колледжа: $7 841 (1990) → $21 558 (2020) в долларах 2023 года, реальный рост 175%. </w:t>
      </w:r>
      <w:hyperlink r:id="rId28">
        <w:r w:rsidDel="00000000" w:rsidR="00000000" w:rsidRPr="00000000">
          <w:rPr>
            <w:color w:val="1155cc"/>
            <w:u w:val="single"/>
            <w:rtl w:val="0"/>
          </w:rPr>
          <w:t xml:space="preserve">https://www.aei.org/research-products/report/trends-in-net-college-tuition-and-financial-aid-1990-2020/</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[31] Federal Reserve. Общий долг по студенческим кредитам США — ~$1,84 триллиона на Q4 2025. </w:t>
      </w:r>
      <w:hyperlink r:id="rId29">
        <w:r w:rsidDel="00000000" w:rsidR="00000000" w:rsidRPr="00000000">
          <w:rPr>
            <w:color w:val="1155cc"/>
            <w:u w:val="single"/>
            <w:rtl w:val="0"/>
          </w:rPr>
          <w:t xml:space="preserve">https://fred.stlouisfed.org/series/SLOAS</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[32] Federal Reserve Bank of New York. </w:t>
      </w:r>
      <w:r w:rsidDel="00000000" w:rsidR="00000000" w:rsidRPr="00000000">
        <w:rPr>
          <w:i w:val="1"/>
          <w:iCs w:val="1"/>
          <w:rtl w:val="0"/>
        </w:rPr>
        <w:t xml:space="preserve">Quarterly Report on Household Debt and Credit</w:t>
      </w:r>
      <w:r w:rsidDel="00000000" w:rsidR="00000000" w:rsidRPr="00000000">
        <w:rPr>
          <w:rtl w:val="0"/>
        </w:rPr>
        <w:t xml:space="preserve">, Q4 2025. </w:t>
      </w:r>
      <w:hyperlink r:id="rId30">
        <w:r w:rsidDel="00000000" w:rsidR="00000000" w:rsidRPr="00000000">
          <w:rPr>
            <w:color w:val="1155cc"/>
            <w:u w:val="single"/>
            <w:rtl w:val="0"/>
          </w:rPr>
          <w:t xml:space="preserve">https://www.newyorkfed.org/microeconomics/topics/student-debt</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[33] Burg, Paul. «AI Is the Greatest Productivity Tool If You Can Afford It». paulburg.com, апрель 2026. (На английском.) </w:t>
      </w:r>
      <w:hyperlink r:id="rId31">
        <w:r w:rsidDel="00000000" w:rsidR="00000000" w:rsidRPr="00000000">
          <w:rPr>
            <w:color w:val="1155cc"/>
            <w:u w:val="single"/>
            <w:rtl w:val="0"/>
          </w:rPr>
          <w:t xml:space="preserve">https://paulburg.com/blog/ai-inequality</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[34] Federal Reserve Board. </w:t>
      </w:r>
      <w:r w:rsidDel="00000000" w:rsidR="00000000" w:rsidRPr="00000000">
        <w:rPr>
          <w:i w:val="1"/>
          <w:iCs w:val="1"/>
          <w:rtl w:val="0"/>
        </w:rPr>
        <w:t xml:space="preserve">Report on the Economic Well-Being of US Households in 2024</w:t>
      </w:r>
      <w:r w:rsidDel="00000000" w:rsidR="00000000" w:rsidRPr="00000000">
        <w:rPr>
          <w:rtl w:val="0"/>
        </w:rPr>
        <w:t xml:space="preserve">, Survey of Household Economics and Decisionmaking (SHED), май 2025. </w:t>
      </w:r>
      <w:hyperlink r:id="rId32">
        <w:r w:rsidDel="00000000" w:rsidR="00000000" w:rsidRPr="00000000">
          <w:rPr>
            <w:color w:val="1155cc"/>
            <w:u w:val="single"/>
            <w:rtl w:val="0"/>
          </w:rPr>
          <w:t xml:space="preserve">https://www.federalreserve.gov/publications/2025-economic-well-being-of-us-households-in-2024-savings-and-investments.htm</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[35] Vietnam General Statistics Office </w:t>
      </w:r>
      <w:r w:rsidDel="00000000" w:rsidR="00000000" w:rsidRPr="00000000">
        <w:rPr>
          <w:i w:val="1"/>
          <w:iCs w:val="1"/>
          <w:rtl w:val="0"/>
        </w:rPr>
        <w:t xml:space="preserve">2024 Household Living Standards Survey</w:t>
      </w:r>
      <w:r w:rsidDel="00000000" w:rsidR="00000000" w:rsidRPr="00000000">
        <w:rPr>
          <w:rtl w:val="0"/>
        </w:rPr>
        <w:t xml:space="preserve">, в Vietnam Briefing, сентябрь 2025. Средний месячный доход на душу в 2024 году — VND 5,4 миллиона (~$213). </w:t>
      </w:r>
      <w:hyperlink r:id="rId33">
        <w:r w:rsidDel="00000000" w:rsidR="00000000" w:rsidRPr="00000000">
          <w:rPr>
            <w:color w:val="1155cc"/>
            <w:u w:val="single"/>
            <w:rtl w:val="0"/>
          </w:rPr>
          <w:t xml:space="preserve">https://www.vietnam-briefing.com/news/vietnams-rising-purchasing-power-2024-household-living-standards-survey.html/</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[36] Glassnode Insights. «No, Bitcoin Ownership is not Highly Concentrated, But Whales are Accumulating». Примерно 2% сетевых сущностей контролируют ~71,5% предложения биткоина. </w:t>
      </w:r>
      <w:hyperlink r:id="rId34">
        <w:r w:rsidDel="00000000" w:rsidR="00000000" w:rsidRPr="00000000">
          <w:rPr>
            <w:color w:val="1155cc"/>
            <w:u w:val="single"/>
            <w:rtl w:val="0"/>
          </w:rPr>
          <w:t xml:space="preserve">https://insights.glassnode.com/bitcoin-supply-distribution/</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[37] Stanford Institute for Human-Centered AI (HAI). </w:t>
      </w:r>
      <w:r w:rsidDel="00000000" w:rsidR="00000000" w:rsidRPr="00000000">
        <w:rPr>
          <w:i w:val="1"/>
          <w:iCs w:val="1"/>
          <w:rtl w:val="0"/>
        </w:rPr>
        <w:t xml:space="preserve">2026 AI Index Report</w:t>
      </w:r>
      <w:r w:rsidDel="00000000" w:rsidR="00000000" w:rsidRPr="00000000">
        <w:rPr>
          <w:rtl w:val="0"/>
        </w:rPr>
        <w:t xml:space="preserve">. Частные инвестиции в AI в США в 2025-м — $285,9 миллиарда, в 23 раза больше китайских $12,4 миллиарда. </w:t>
      </w:r>
      <w:hyperlink r:id="rId35">
        <w:r w:rsidDel="00000000" w:rsidR="00000000" w:rsidRPr="00000000">
          <w:rPr>
            <w:color w:val="1155cc"/>
            <w:u w:val="single"/>
            <w:rtl w:val="0"/>
          </w:rPr>
          <w:t xml:space="preserve">https://hai.stanford.edu/ai-index/2026-ai-index-report</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[38] Perez, Carlota. </w:t>
      </w:r>
      <w:r w:rsidDel="00000000" w:rsidR="00000000" w:rsidRPr="00000000">
        <w:rPr>
          <w:i w:val="1"/>
          <w:iCs w:val="1"/>
          <w:rtl w:val="0"/>
        </w:rPr>
        <w:t xml:space="preserve">Technological Revolutions and Financial Capital: The Dynamics of Bubbles and Golden Ages</w:t>
      </w:r>
      <w:r w:rsidDel="00000000" w:rsidR="00000000" w:rsidRPr="00000000">
        <w:rPr>
          <w:rtl w:val="0"/>
        </w:rPr>
        <w:t xml:space="preserve">. Edward Elgar Publishing, 2002.</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[39] Burg, Paul. «The AI Productivity Paradox». paulburg.com, апрель 2026. (На английском.) </w:t>
      </w:r>
      <w:hyperlink r:id="rId36">
        <w:r w:rsidDel="00000000" w:rsidR="00000000" w:rsidRPr="00000000">
          <w:rPr>
            <w:color w:val="1155cc"/>
            <w:u w:val="single"/>
            <w:rtl w:val="0"/>
          </w:rPr>
          <w:t xml:space="preserve">https://paulburg.com/blog/ai-productivity-paradox-free-time</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[40] Burg, Paul. «The AI Trade: Winners, Losers, and Defensible Ground». paulburg.com, 7 мая 2026. (На английском.) </w:t>
      </w:r>
      <w:hyperlink r:id="rId37">
        <w:r w:rsidDel="00000000" w:rsidR="00000000" w:rsidRPr="00000000">
          <w:rPr>
            <w:color w:val="1155cc"/>
            <w:u w:val="single"/>
            <w:rtl w:val="0"/>
          </w:rPr>
          <w:t xml:space="preserve">https://paulburg.com/blog/ai-winners-losers-where-to-stand</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[41] US Bureau of Labor Statistics. </w:t>
      </w:r>
      <w:r w:rsidDel="00000000" w:rsidR="00000000" w:rsidRPr="00000000">
        <w:rPr>
          <w:i w:val="1"/>
          <w:iCs w:val="1"/>
          <w:rtl w:val="0"/>
        </w:rPr>
        <w:t xml:space="preserve">A Profile of the Working Poor, 2023</w:t>
      </w:r>
      <w:r w:rsidDel="00000000" w:rsidR="00000000" w:rsidRPr="00000000">
        <w:rPr>
          <w:rtl w:val="0"/>
        </w:rPr>
        <w:t xml:space="preserve">. Опубликован в январе 2026-го. Определяет working poor как людей в рабочей силе не менее 27 недель с доходом домохозяйства ниже порога бедности. В 2023 году под определение попало около 6,1 миллиона американцев; уровень working poor 3,8% (снизился с 4,0% в 2022-м). </w:t>
      </w:r>
      <w:hyperlink r:id="rId38">
        <w:r w:rsidDel="00000000" w:rsidR="00000000" w:rsidRPr="00000000">
          <w:rPr>
            <w:color w:val="1155cc"/>
            <w:u w:val="single"/>
            <w:rtl w:val="0"/>
          </w:rPr>
          <w:t xml:space="preserve">https://www.bls.gov/opub/reports/working-poor/2023/</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[42] Eurostat. «In-work at-risk-of-poverty rate by sex, age and household type». База EU-SILC. Среднее по ЕС около 8-9%, выше в Румынии, Испании, Италии. </w:t>
      </w:r>
      <w:hyperlink r:id="rId39">
        <w:r w:rsidDel="00000000" w:rsidR="00000000" w:rsidRPr="00000000">
          <w:rPr>
            <w:color w:val="1155cc"/>
            <w:u w:val="single"/>
            <w:rtl w:val="0"/>
          </w:rPr>
          <w:t xml:space="preserve">https://ec.europa.eu/eurostat/databrowser/view/ilc_iw02/default/table</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[43] Standing, Guy. </w:t>
      </w:r>
      <w:r w:rsidDel="00000000" w:rsidR="00000000" w:rsidRPr="00000000">
        <w:rPr>
          <w:i w:val="1"/>
          <w:iCs w:val="1"/>
          <w:rtl w:val="0"/>
        </w:rPr>
        <w:t xml:space="preserve">The Precariat: The New Dangerous Class</w:t>
      </w:r>
      <w:r w:rsidDel="00000000" w:rsidR="00000000" w:rsidRPr="00000000">
        <w:rPr>
          <w:rtl w:val="0"/>
        </w:rPr>
        <w:t xml:space="preserve">. Bloomsbury Academic, 2011. Фундаментальный текст о прекариате как формирующемся социально-экономическом классе, характеризующемся трудовой нестабильностью, волатильностью дохода и отсутствием профессиональной идентичности. Продолжен книгой </w:t>
      </w:r>
      <w:r w:rsidDel="00000000" w:rsidR="00000000" w:rsidRPr="00000000">
        <w:rPr>
          <w:i w:val="1"/>
          <w:iCs w:val="1"/>
          <w:rtl w:val="0"/>
        </w:rPr>
        <w:t xml:space="preserve">A Precariat Charter</w:t>
      </w:r>
      <w:r w:rsidDel="00000000" w:rsidR="00000000" w:rsidRPr="00000000">
        <w:rPr>
          <w:rtl w:val="0"/>
        </w:rPr>
        <w:t xml:space="preserve"> (2014) с программой политических ответов.</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[44] Tully, Shawn. «Look Who Pays for the Bailout». </w:t>
      </w:r>
      <w:r w:rsidDel="00000000" w:rsidR="00000000" w:rsidRPr="00000000">
        <w:rPr>
          <w:i w:val="1"/>
          <w:iCs w:val="1"/>
          <w:rtl w:val="0"/>
        </w:rPr>
        <w:t xml:space="preserve">Fortune</w:t>
      </w:r>
      <w:r w:rsidDel="00000000" w:rsidR="00000000" w:rsidRPr="00000000">
        <w:rPr>
          <w:rtl w:val="0"/>
        </w:rPr>
        <w:t xml:space="preserve">, ноябрь 2008. Консолидирующий материал по концепции HENRY (High Earner, Not Rich Yet), развивающий более раннюю работу Талли 2003-го года о той же демографической группе. В обновлении 2024-го года, репортированном Fast Company, Талли пересмотрел инфляционно-скорректированный диапазон с $250K-$500K до $375K-$750K. Термин с тех пор вошёл в стандартный словарь финансового планирования для описания домохозяйств с высоким доходом в дорогих регионах, которые не накапливают generational wealth только из зарплат.</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[45] Góes, Carlos. «Testing Piketty's Hypothesis on the Drivers of Income Inequality: Evidence from Panel VARs with Heterogeneous Dynamics». Рабочая статья, май 2025. Использует панельные VAR-модели на 18 развитых экономиках за 30 лет; не находит эмпирической поддержки для конкретного причинного механизма Пикетти, влияющего на неравенство доходов; предполагает, что корректировки нормы сбережений и убывающая отдача капитала компенсируют гипотезированные эффекты. </w:t>
      </w:r>
      <w:hyperlink r:id="rId40">
        <w:r w:rsidDel="00000000" w:rsidR="00000000" w:rsidRPr="00000000">
          <w:rPr>
            <w:color w:val="1155cc"/>
            <w:u w:val="single"/>
            <w:rtl w:val="0"/>
          </w:rPr>
          <w:t xml:space="preserve">https://arxiv.org/pdf/2505.01521</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[46] Piketty, Thomas. </w:t>
      </w:r>
      <w:r w:rsidDel="00000000" w:rsidR="00000000" w:rsidRPr="00000000">
        <w:rPr>
          <w:i w:val="1"/>
          <w:iCs w:val="1"/>
          <w:rtl w:val="0"/>
        </w:rPr>
        <w:t xml:space="preserve">Capital in the 21st Century, Ten Years Later</w:t>
      </w:r>
      <w:r w:rsidDel="00000000" w:rsidR="00000000" w:rsidRPr="00000000">
        <w:rPr>
          <w:rtl w:val="0"/>
        </w:rPr>
        <w:t xml:space="preserve">. World Inequality Lab Working Paper 2025-21, 2025. Собственная ретроспектива Пикетти на оригинальную книгу 2014-го; делает больший упор на политический и институциональный конфликт за распределение, нежели на механическую формулу r &gt; g. </w:t>
      </w:r>
      <w:hyperlink r:id="rId41">
        <w:r w:rsidDel="00000000" w:rsidR="00000000" w:rsidRPr="00000000">
          <w:rPr>
            <w:color w:val="1155cc"/>
            <w:u w:val="single"/>
            <w:rtl w:val="0"/>
          </w:rPr>
          <w:t xml:space="preserve">https://wid.world/document/capital-in-the-21st-century-ten-years-later-world-inequality-lab-working-paper-2025-21/</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[47] Levels.fyi compensation data. Tech-компенсация по компаниям, уровням и локациям. Последнее обновление декабрь 2025-го. Google L5 software engineer median total compensation $409 908; Google L6 median $598 251; Meta E5 median $351K-$503K; Meta E6 median $497K-$775K. </w:t>
      </w:r>
      <w:hyperlink r:id="rId42">
        <w:r w:rsidDel="00000000" w:rsidR="00000000" w:rsidRPr="00000000">
          <w:rPr>
            <w:color w:val="1155cc"/>
            <w:u w:val="single"/>
            <w:rtl w:val="0"/>
          </w:rPr>
          <w:t xml:space="preserve">https://www.levels.fyi/companies/google/salaries/software-engineer</w:t>
        </w:r>
      </w:hyperlink>
      <w:r w:rsidDel="00000000" w:rsidR="00000000" w:rsidRPr="00000000">
        <w:rPr>
          <w:rtl w:val="0"/>
        </w:rPr>
        <w:t xml:space="preserve"> и </w:t>
      </w:r>
      <w:hyperlink r:id="rId43">
        <w:r w:rsidDel="00000000" w:rsidR="00000000" w:rsidRPr="00000000">
          <w:rPr>
            <w:color w:val="1155cc"/>
            <w:u w:val="single"/>
            <w:rtl w:val="0"/>
          </w:rPr>
          <w:t xml:space="preserve">https://www.levels.fyi/companies/meta/salaries/software-engineer</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[48] Crunchbase News и TrueUp tech layoffs трекеры. Циклы массовых увольнений в tech-секторе США: около 200 000 в 2023-м, 95 000 в 2024-м, 127 000 в 2025-м; в 2026-м темп сопоставимый. Трекеры различаются по охвату и определениям; цифры лучше читать как rough orders of magnitude, а не как точные подсчёты. События массовых увольнений обычно приводят к потере невестerых RSU для затронутых сотрудников. </w:t>
      </w:r>
      <w:hyperlink r:id="rId44">
        <w:r w:rsidDel="00000000" w:rsidR="00000000" w:rsidRPr="00000000">
          <w:rPr>
            <w:color w:val="1155cc"/>
            <w:u w:val="single"/>
            <w:rtl w:val="0"/>
          </w:rPr>
          <w:t xml:space="preserve">https://news.crunchbase.com/startups/tech-layoffs/</w:t>
        </w:r>
      </w:hyperlink>
      <w:r w:rsidDel="00000000" w:rsidR="00000000" w:rsidRPr="00000000">
        <w:rPr>
          <w:rtl w:val="0"/>
        </w:rPr>
        <w:t xml:space="preserve"> и </w:t>
      </w:r>
      <w:hyperlink r:id="rId45">
        <w:r w:rsidDel="00000000" w:rsidR="00000000" w:rsidRPr="00000000">
          <w:rPr>
            <w:color w:val="1155cc"/>
            <w:u w:val="single"/>
            <w:rtl w:val="0"/>
          </w:rPr>
          <w:t xml:space="preserve">https://www.trueup.io/layoffs</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[49] CNBC, «Here's why even Americans making more than $100,000 live paycheck to paycheck», 11 декабря 2023-го, ссылается на данные опроса LendingClub за сентябрь 2023-го. Больше половины американцев с доходом свыше $100 000 в год живут «от зарплаты до зарплаты». Заметка: последующие опросы Bank of America (2024) и Goldman Sachs Asset Management (2025 Retirement Survey) дают цифры в диапазоне 40-50% для аналогично определённых выборок, что говорит о сохранении паттерна до 2025-го. </w:t>
      </w:r>
      <w:hyperlink r:id="rId46">
        <w:r w:rsidDel="00000000" w:rsidR="00000000" w:rsidRPr="00000000">
          <w:rPr>
            <w:color w:val="1155cc"/>
            <w:u w:val="single"/>
            <w:rtl w:val="0"/>
          </w:rPr>
          <w:t xml:space="preserve">https://www.cnbc.com/2023/12/11/why-even-americans-making-more-than-100000-live-paycheck-to-paycheck.html</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pdf/2505.01521" TargetMode="External"/><Relationship Id="rId20" Type="http://schemas.openxmlformats.org/officeDocument/2006/relationships/hyperlink" Target="https://institutional.vanguard.com/insights-and-research/research/how-america-saves.html" TargetMode="External"/><Relationship Id="rId42" Type="http://schemas.openxmlformats.org/officeDocument/2006/relationships/hyperlink" Target="https://www.levels.fyi/companies/google/salaries/software-engineer" TargetMode="External"/><Relationship Id="rId41" Type="http://schemas.openxmlformats.org/officeDocument/2006/relationships/hyperlink" Target="https://wid.world/document/capital-in-the-21st-century-ten-years-later-world-inequality-lab-working-paper-2025-21/" TargetMode="External"/><Relationship Id="rId22" Type="http://schemas.openxmlformats.org/officeDocument/2006/relationships/hyperlink" Target="https://www.spglobal.com/spdji/en/corporate-news/article/sp-500-q3-2025-buybacks-post-modest-62-gain-to-249-0-billion-after-declining-20-1-amidst-uncertainty-in-q2/" TargetMode="External"/><Relationship Id="rId44" Type="http://schemas.openxmlformats.org/officeDocument/2006/relationships/hyperlink" Target="https://news.crunchbase.com/startups/tech-layoffs/" TargetMode="External"/><Relationship Id="rId21" Type="http://schemas.openxmlformats.org/officeDocument/2006/relationships/hyperlink" Target="https://press.spglobal.com/2025-03-19-S-P-500-Q4-2024-Buybacks-Increase-7-4-and-2024-Expenditure-Sets-New-Record-by-Increasing-18-5" TargetMode="External"/><Relationship Id="rId43" Type="http://schemas.openxmlformats.org/officeDocument/2006/relationships/hyperlink" Target="https://www.levels.fyi/companies/meta/salaries/software-engineer" TargetMode="External"/><Relationship Id="rId24" Type="http://schemas.openxmlformats.org/officeDocument/2006/relationships/hyperlink" Target="https://www.federalreserve.gov/releases/z1/dataviz/dfa/distribute/table/" TargetMode="External"/><Relationship Id="rId46" Type="http://schemas.openxmlformats.org/officeDocument/2006/relationships/hyperlink" Target="https://www.cnbc.com/2023/12/11/why-even-americans-making-more-than-100000-live-paycheck-to-paycheck.html" TargetMode="External"/><Relationship Id="rId23" Type="http://schemas.openxmlformats.org/officeDocument/2006/relationships/hyperlink" Target="https://hbr.org/2014/09/profits-without-prosperity" TargetMode="External"/><Relationship Id="rId45" Type="http://schemas.openxmlformats.org/officeDocument/2006/relationships/hyperlink" Target="https://www.trueup.io/layoff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ionthailand.com/business/property/40054420" TargetMode="External"/><Relationship Id="rId26" Type="http://schemas.openxmlformats.org/officeDocument/2006/relationships/hyperlink" Target="https://data.stanford.edu/dime" TargetMode="External"/><Relationship Id="rId25" Type="http://schemas.openxmlformats.org/officeDocument/2006/relationships/hyperlink" Target="https://cepr.org/voxeu/columns/how-war-increasing-inequality-russia" TargetMode="External"/><Relationship Id="rId28" Type="http://schemas.openxmlformats.org/officeDocument/2006/relationships/hyperlink" Target="https://www.aei.org/research-products/report/trends-in-net-college-tuition-and-financial-aid-1990-2020/" TargetMode="External"/><Relationship Id="rId27" Type="http://schemas.openxmlformats.org/officeDocument/2006/relationships/hyperlink" Target="https://sunlightfoundation.com/2014/04/17/american-oligarchy-how-the-preferences-of-elites-shape-policy-outcomes/" TargetMode="External"/><Relationship Id="rId5" Type="http://schemas.openxmlformats.org/officeDocument/2006/relationships/styles" Target="styles.xml"/><Relationship Id="rId6" Type="http://schemas.openxmlformats.org/officeDocument/2006/relationships/hyperlink" Target="https://www.jchs.harvard.edu/blog/home-prices-surge-five-times-median-income-nearing-historic-highs" TargetMode="External"/><Relationship Id="rId29" Type="http://schemas.openxmlformats.org/officeDocument/2006/relationships/hyperlink" Target="https://fred.stlouisfed.org/series/SLOAS" TargetMode="External"/><Relationship Id="rId7" Type="http://schemas.openxmlformats.org/officeDocument/2006/relationships/hyperlink" Target="https://www.federalreserve.gov/releases/efa/efa-distributional-financial-accounts.htm" TargetMode="External"/><Relationship Id="rId8" Type="http://schemas.openxmlformats.org/officeDocument/2006/relationships/hyperlink" Target="https://wid.world/country/russian-federation/" TargetMode="External"/><Relationship Id="rId31" Type="http://schemas.openxmlformats.org/officeDocument/2006/relationships/hyperlink" Target="https://paulburg.com/blog/ai-inequality" TargetMode="External"/><Relationship Id="rId30" Type="http://schemas.openxmlformats.org/officeDocument/2006/relationships/hyperlink" Target="https://www.newyorkfed.org/microeconomics/topics/student-debt" TargetMode="External"/><Relationship Id="rId11" Type="http://schemas.openxmlformats.org/officeDocument/2006/relationships/hyperlink" Target="https://iariw.org/wp-content/uploads/2024/07/IARIW_Phan.pdf" TargetMode="External"/><Relationship Id="rId33" Type="http://schemas.openxmlformats.org/officeDocument/2006/relationships/hyperlink" Target="https://www.vietnam-briefing.com/news/vietnams-rising-purchasing-power-2024-household-living-standards-survey.html/" TargetMode="External"/><Relationship Id="rId10" Type="http://schemas.openxmlformats.org/officeDocument/2006/relationships/hyperlink" Target="https://sccei.fsi.stanford.edu/china-briefs/rise-wealth-private-property-and-income-inequality-china" TargetMode="External"/><Relationship Id="rId32" Type="http://schemas.openxmlformats.org/officeDocument/2006/relationships/hyperlink" Target="https://www.federalreserve.gov/publications/2025-economic-well-being-of-us-households-in-2024-savings-and-investments.htm" TargetMode="External"/><Relationship Id="rId13" Type="http://schemas.openxmlformats.org/officeDocument/2006/relationships/hyperlink" Target="https://paulburg.com/blog/vietnam-urban-transformation" TargetMode="External"/><Relationship Id="rId35" Type="http://schemas.openxmlformats.org/officeDocument/2006/relationships/hyperlink" Target="https://hai.stanford.edu/ai-index/2026-ai-index-report" TargetMode="External"/><Relationship Id="rId12" Type="http://schemas.openxmlformats.org/officeDocument/2006/relationships/hyperlink" Target="https://wir2026.wid.world/" TargetMode="External"/><Relationship Id="rId34" Type="http://schemas.openxmlformats.org/officeDocument/2006/relationships/hyperlink" Target="https://insights.glassnode.com/bitcoin-supply-distribution/" TargetMode="External"/><Relationship Id="rId15" Type="http://schemas.openxmlformats.org/officeDocument/2006/relationships/hyperlink" Target="https://www.federalreserve.gov/pubs/bulletin/2014/pdf/scf14.pdf" TargetMode="External"/><Relationship Id="rId37" Type="http://schemas.openxmlformats.org/officeDocument/2006/relationships/hyperlink" Target="https://paulburg.com/blog/ai-winners-losers-where-to-stand" TargetMode="External"/><Relationship Id="rId14" Type="http://schemas.openxmlformats.org/officeDocument/2006/relationships/hyperlink" Target="https://fred.stlouisfed.org/series/CSUSHPINSA" TargetMode="External"/><Relationship Id="rId36" Type="http://schemas.openxmlformats.org/officeDocument/2006/relationships/hyperlink" Target="https://paulburg.com/blog/ai-productivity-paradox-free-time" TargetMode="External"/><Relationship Id="rId17" Type="http://schemas.openxmlformats.org/officeDocument/2006/relationships/hyperlink" Target="https://www.propublica.org/article/the-secret-irs-files-trove-of-never-before-seen-records-reveal-how-the-wealthiest-avoid-income-tax" TargetMode="External"/><Relationship Id="rId39" Type="http://schemas.openxmlformats.org/officeDocument/2006/relationships/hyperlink" Target="https://ec.europa.eu/eurostat/databrowser/view/ilc_iw02/default/table" TargetMode="External"/><Relationship Id="rId16" Type="http://schemas.openxmlformats.org/officeDocument/2006/relationships/hyperlink" Target="https://www.nar.realtor/newsroom/first-time-home-buyers-shrink-to-historic-low-of-24-as-buyer-age-hits-record-high" TargetMode="External"/><Relationship Id="rId38" Type="http://schemas.openxmlformats.org/officeDocument/2006/relationships/hyperlink" Target="https://www.bls.gov/opub/reports/working-poor/2023/" TargetMode="External"/><Relationship Id="rId19" Type="http://schemas.openxmlformats.org/officeDocument/2006/relationships/hyperlink" Target="https://www.ssa.gov/policy/docs/ssb/v69n3/v69n3p1.html" TargetMode="External"/><Relationship Id="rId18" Type="http://schemas.openxmlformats.org/officeDocument/2006/relationships/hyperlink" Target="https://www.bls.gov/opub/ted/2025/31-percent-of-workers-in-financial-activities-had-access-to-a-defined-benefit-retirement-pla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