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jc w:val="center"/>
      </w:pPr>
      <w:r>
        <w:rPr>
          <w:b/>
          <w:color w:val="185FA5"/>
          <w:sz w:val="44"/>
        </w:rPr>
        <w:t>Restaurang Björken AB</w:t>
      </w:r>
    </w:p>
    <w:p>
      <w:pPr>
        <w:jc w:val="center"/>
      </w:pPr>
      <w:r>
        <w:rPr>
          <w:color w:val="3D3B38"/>
          <w:sz w:val="32"/>
        </w:rPr>
        <w:t>Månadsrapport — Mars 2026</w:t>
      </w:r>
    </w:p>
    <w:p>
      <w:pPr>
        <w:jc w:val="center"/>
      </w:pPr>
      <w:r>
        <w:rPr>
          <w:color w:val="9B9690"/>
          <w:sz w:val="20"/>
        </w:rPr>
        <w:t>Konfidentiellt  ·  2026-03-31</w:t>
      </w:r>
    </w:p>
    <w:p>
      <w:r>
        <w:br w:type="page"/>
      </w:r>
    </w:p>
    <w:p>
      <w:pPr>
        <w:pStyle w:val="Heading1"/>
      </w:pPr>
      <w:r>
        <w:rPr>
          <w:color w:val="185FA5"/>
          <w:sz w:val="32"/>
        </w:rPr>
        <w:t>1. Verkställande Sammanfattning</w:t>
      </w:r>
    </w:p>
    <w:p>
      <w:r>
        <w:rPr>
          <w:b w:val="0"/>
          <w:sz w:val="22"/>
        </w:rPr>
        <w:t>Restaurang Björkens omsättning för Mars 2026 uppgick till 505 900 kr, en ökning med 9,6% jämfört med föregående månad. Rörelsemarginalen sjönk till -9.4% (feb: 8,4%) till följd av leverantörsprishöjningar och ökade personalkostnader vid hög sjukfrånvaro.</w:t>
      </w:r>
    </w:p>
    <w:p/>
    <w:p>
      <w:pPr>
        <w:pStyle w:val="Heading2"/>
      </w:pPr>
      <w:r>
        <w:rPr>
          <w:color w:val="2E2C29"/>
          <w:sz w:val="26"/>
        </w:rPr>
        <w:t>Nyckelnyckeltal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85FA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Nyckeltal</w:t>
            </w:r>
          </w:p>
        </w:tc>
        <w:tc>
          <w:tcPr>
            <w:tcW w:type="dxa" w:w="3022"/>
            <w:shd w:fill="E6F1FB" w:val="clear"/>
          </w:tcPr>
          <w:p>
            <w:pPr>
              <w:jc w:val="center"/>
            </w:pPr>
            <w:r>
              <w:rPr>
                <w:b/>
                <w:sz w:val="20"/>
              </w:rPr>
              <w:t>Mars 2026</w:t>
            </w:r>
          </w:p>
        </w:tc>
        <w:tc>
          <w:tcPr>
            <w:tcW w:type="dxa" w:w="3022"/>
            <w:shd w:fill="E6F1FB" w:val="clear"/>
          </w:tcPr>
          <w:p>
            <w:pPr>
              <w:jc w:val="center"/>
            </w:pPr>
            <w:r>
              <w:rPr>
                <w:b/>
                <w:sz w:val="20"/>
              </w:rPr>
              <w:t>Feb 2026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Omsättning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505 900 kr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461 800 kr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Rörelsekostnader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553 541 kr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Rörelseresultat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-47 641 kr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  <w:sz w:val="20"/>
              </w:rPr>
              <w:t>Rörelsemarginal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-9.4%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8,38%</w:t>
            </w:r>
          </w:p>
        </w:tc>
      </w:tr>
    </w:tbl>
    <w:p/>
    <w:p>
      <w:pPr>
        <w:pStyle w:val="Heading1"/>
      </w:pPr>
      <w:r>
        <w:rPr>
          <w:color w:val="185FA5"/>
          <w:sz w:val="32"/>
        </w:rPr>
        <w:t>2. Intäktsanalys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E6F1FB" w:val="clear"/>
          </w:tcPr>
          <w:p>
            <w:pPr>
              <w:jc w:val="center"/>
            </w:pPr>
            <w:r>
              <w:rPr>
                <w:b/>
                <w:sz w:val="20"/>
              </w:rPr>
              <w:t>Intäktskälla</w:t>
            </w:r>
          </w:p>
        </w:tc>
        <w:tc>
          <w:tcPr>
            <w:tcW w:type="dxa" w:w="3022"/>
            <w:shd w:fill="E6F1FB" w:val="clear"/>
          </w:tcPr>
          <w:p>
            <w:pPr>
              <w:jc w:val="center"/>
            </w:pPr>
            <w:r>
              <w:rPr>
                <w:b/>
                <w:sz w:val="20"/>
              </w:rPr>
              <w:t>Belopp</w:t>
            </w:r>
          </w:p>
        </w:tc>
        <w:tc>
          <w:tcPr>
            <w:tcW w:type="dxa" w:w="3022"/>
            <w:shd w:fill="E6F1FB" w:val="clear"/>
          </w:tcPr>
          <w:p>
            <w:pPr>
              <w:jc w:val="center"/>
            </w:pPr>
            <w:r>
              <w:rPr>
                <w:b/>
                <w:sz w:val="20"/>
              </w:rPr>
              <w:t>% av total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Matintäkter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312 500 kr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61,8%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Dryckesintäkter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175 000 kr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34,6%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Cateringintäkter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18 400 kr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 w:val="0"/>
                <w:sz w:val="20"/>
              </w:rPr>
              <w:t>3,6%</w:t>
            </w:r>
          </w:p>
        </w:tc>
      </w:tr>
    </w:tbl>
    <w:p/>
    <w:p>
      <w:pPr>
        <w:pStyle w:val="Heading1"/>
      </w:pPr>
      <w:r>
        <w:rPr>
          <w:color w:val="185FA5"/>
          <w:sz w:val="32"/>
        </w:rPr>
        <w:t>3. Kostnadsanalys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E6F1FB" w:val="clear"/>
          </w:tcPr>
          <w:p>
            <w:pPr>
              <w:jc w:val="center"/>
            </w:pPr>
            <w:r>
              <w:rPr>
                <w:b/>
                <w:sz w:val="20"/>
              </w:rPr>
              <w:t>Kostnadskategori</w:t>
            </w:r>
          </w:p>
        </w:tc>
        <w:tc>
          <w:tcPr>
            <w:tcW w:type="dxa" w:w="2266"/>
            <w:shd w:fill="E6F1FB" w:val="clear"/>
          </w:tcPr>
          <w:p>
            <w:pPr>
              <w:jc w:val="center"/>
            </w:pPr>
            <w:r>
              <w:rPr>
                <w:b/>
                <w:sz w:val="20"/>
              </w:rPr>
              <w:t>Belopp</w:t>
            </w:r>
          </w:p>
        </w:tc>
        <w:tc>
          <w:tcPr>
            <w:tcW w:type="dxa" w:w="2266"/>
            <w:shd w:fill="E6F1FB" w:val="clear"/>
          </w:tcPr>
          <w:p>
            <w:pPr>
              <w:jc w:val="center"/>
            </w:pPr>
            <w:r>
              <w:rPr>
                <w:b/>
                <w:sz w:val="20"/>
              </w:rPr>
              <w:t>% av omsättning</w:t>
            </w:r>
          </w:p>
        </w:tc>
        <w:tc>
          <w:tcPr>
            <w:tcW w:type="dxa" w:w="2266"/>
            <w:shd w:fill="E6F1FB" w:val="clear"/>
          </w:tcPr>
          <w:p>
            <w:pPr>
              <w:jc w:val="center"/>
            </w:pPr>
            <w:r>
              <w:rPr>
                <w:b/>
                <w:sz w:val="20"/>
              </w:rPr>
              <w:t>Budget %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b w:val="0"/>
                <w:sz w:val="20"/>
              </w:rPr>
              <w:t>Personal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 w:val="0"/>
                <w:sz w:val="20"/>
              </w:rPr>
              <w:t>311 319 kr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 w:val="0"/>
                <w:sz w:val="20"/>
              </w:rPr>
              <w:t>61.5%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 w:val="0"/>
                <w:sz w:val="20"/>
              </w:rPr>
              <w:t>40,0%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b w:val="0"/>
                <w:sz w:val="20"/>
              </w:rPr>
              <w:t>Råvaror &amp; dryck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 w:val="0"/>
                <w:sz w:val="20"/>
              </w:rPr>
              <w:t>149 300 kr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 w:val="0"/>
                <w:sz w:val="20"/>
              </w:rPr>
              <w:t>29.5%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 w:val="0"/>
                <w:sz w:val="20"/>
              </w:rPr>
              <w:t>31,0%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b w:val="0"/>
                <w:sz w:val="20"/>
              </w:rPr>
              <w:t>Lokal &amp; fastighet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 w:val="0"/>
                <w:sz w:val="20"/>
              </w:rPr>
              <w:t>64 500 kr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 w:val="0"/>
                <w:sz w:val="20"/>
              </w:rPr>
              <w:t>12.7%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 w:val="0"/>
                <w:sz w:val="20"/>
              </w:rPr>
              <w:t>13,0%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b w:val="0"/>
                <w:sz w:val="20"/>
              </w:rPr>
              <w:t>Övrigt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 w:val="0"/>
                <w:sz w:val="20"/>
              </w:rPr>
              <w:t>28 422 kr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 w:val="0"/>
                <w:sz w:val="20"/>
              </w:rPr>
              <w:t>5.6%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 w:val="0"/>
                <w:sz w:val="20"/>
              </w:rPr>
              <w:t>6,0%</w:t>
            </w:r>
          </w:p>
        </w:tc>
      </w:tr>
      <w:tr>
        <w:tc>
          <w:tcPr>
            <w:tcW w:type="dxa" w:w="2266"/>
            <w:shd w:fill="EAF3DE" w:val="clear"/>
          </w:tcPr>
          <w:p>
            <w:pPr>
              <w:jc w:val="center"/>
            </w:pPr>
            <w:r>
              <w:rPr>
                <w:b/>
                <w:sz w:val="20"/>
              </w:rPr>
              <w:t>TOTALT</w:t>
            </w:r>
          </w:p>
        </w:tc>
        <w:tc>
          <w:tcPr>
            <w:tcW w:type="dxa" w:w="2266"/>
            <w:shd w:fill="EAF3DE" w:val="clear"/>
          </w:tcPr>
          <w:p>
            <w:pPr>
              <w:jc w:val="center"/>
            </w:pPr>
            <w:r>
              <w:rPr>
                <w:b/>
                <w:sz w:val="20"/>
              </w:rPr>
              <w:t>553 541 kr</w:t>
            </w:r>
          </w:p>
        </w:tc>
        <w:tc>
          <w:tcPr>
            <w:tcW w:type="dxa" w:w="2266"/>
            <w:shd w:fill="EAF3DE" w:val="clear"/>
          </w:tcPr>
          <w:p>
            <w:pPr>
              <w:jc w:val="center"/>
            </w:pPr>
            <w:r>
              <w:rPr>
                <w:b/>
                <w:sz w:val="20"/>
              </w:rPr>
              <w:t>109.4%</w:t>
            </w:r>
          </w:p>
        </w:tc>
        <w:tc>
          <w:tcPr>
            <w:tcW w:type="dxa" w:w="2266"/>
            <w:shd w:fill="EAF3DE" w:val="clear"/>
          </w:tcPr>
          <w:p>
            <w:pPr>
              <w:jc w:val="center"/>
            </w:pPr>
            <w:r>
              <w:rPr>
                <w:b/>
                <w:sz w:val="20"/>
              </w:rPr>
              <w:t>90,0%</w:t>
            </w:r>
          </w:p>
        </w:tc>
      </w:tr>
    </w:tbl>
    <w:p/>
    <w:p>
      <w:pPr>
        <w:pStyle w:val="Heading1"/>
      </w:pPr>
      <w:r>
        <w:rPr>
          <w:color w:val="185FA5"/>
          <w:sz w:val="32"/>
        </w:rPr>
        <w:t>4. Resultaträkning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E6F1FB" w:val="clear"/>
          </w:tcPr>
          <w:p>
            <w:pPr>
              <w:jc w:val="center"/>
            </w:pPr>
            <w:r>
              <w:rPr>
                <w:b/>
                <w:sz w:val="20"/>
              </w:rPr>
              <w:t>Post</w:t>
            </w:r>
          </w:p>
        </w:tc>
        <w:tc>
          <w:tcPr>
            <w:tcW w:type="dxa" w:w="4533"/>
            <w:shd w:fill="E6F1FB" w:val="clear"/>
          </w:tcPr>
          <w:p>
            <w:pPr>
              <w:jc w:val="center"/>
            </w:pPr>
            <w:r>
              <w:rPr>
                <w:b/>
                <w:sz w:val="20"/>
              </w:rPr>
              <w:t>Mars 2026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b w:val="0"/>
                <w:sz w:val="20"/>
              </w:rPr>
              <w:t>Nettoomsättning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 w:val="0"/>
                <w:sz w:val="20"/>
              </w:rPr>
              <w:t>505 900 kr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b w:val="0"/>
                <w:sz w:val="20"/>
              </w:rPr>
              <w:t>(-) Råvaror &amp; dryck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 w:val="0"/>
                <w:sz w:val="20"/>
              </w:rPr>
              <w:t>-149 300 kr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b w:val="0"/>
                <w:sz w:val="20"/>
              </w:rPr>
              <w:t>(-) Personalkostnader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 w:val="0"/>
                <w:sz w:val="20"/>
              </w:rPr>
              <w:t>-311 319 kr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b w:val="0"/>
                <w:sz w:val="20"/>
              </w:rPr>
              <w:t>(-) Lokal &amp; fastighet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 w:val="0"/>
                <w:sz w:val="20"/>
              </w:rPr>
              <w:t>-64 500 kr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b w:val="0"/>
                <w:sz w:val="20"/>
              </w:rPr>
              <w:t>(-) Övriga kostnader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 w:val="0"/>
                <w:sz w:val="20"/>
              </w:rPr>
              <w:t>-28 422 kr</w:t>
            </w:r>
          </w:p>
        </w:tc>
      </w:tr>
      <w:tr>
        <w:tc>
          <w:tcPr>
            <w:tcW w:type="dxa" w:w="4533"/>
            <w:shd w:fill="EAF3DE" w:val="clear"/>
          </w:tcPr>
          <w:p>
            <w:pPr>
              <w:jc w:val="center"/>
            </w:pPr>
            <w:r>
              <w:rPr>
                <w:b/>
                <w:sz w:val="20"/>
              </w:rPr>
              <w:t>= Rörelseresultat (EBIT)</w:t>
            </w:r>
          </w:p>
        </w:tc>
        <w:tc>
          <w:tcPr>
            <w:tcW w:type="dxa" w:w="4533"/>
            <w:shd w:fill="EAF3DE" w:val="clear"/>
          </w:tcPr>
          <w:p>
            <w:pPr>
              <w:jc w:val="center"/>
            </w:pPr>
            <w:r>
              <w:rPr>
                <w:b/>
                <w:sz w:val="20"/>
              </w:rPr>
              <w:t>-47 641 kr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>
              <w:rPr>
                <w:b w:val="0"/>
                <w:sz w:val="20"/>
              </w:rPr>
              <w:t>Rörelsemarginal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 w:val="0"/>
                <w:sz w:val="20"/>
              </w:rPr>
              <w:t>-9.4%</w:t>
            </w:r>
          </w:p>
        </w:tc>
      </w:tr>
    </w:tbl>
    <w:p/>
    <w:p>
      <w:pPr>
        <w:pStyle w:val="Heading1"/>
      </w:pPr>
      <w:r>
        <w:rPr>
          <w:color w:val="185FA5"/>
          <w:sz w:val="32"/>
        </w:rPr>
        <w:t>5. Rekommendationer</w:t>
      </w:r>
    </w:p>
    <w:p>
      <w:pPr>
        <w:pStyle w:val="ListNumber"/>
      </w:pPr>
      <w:r>
        <w:rPr>
          <w:sz w:val="22"/>
        </w:rPr>
        <w:t>Omförhandla Menigo-avtalet: Prisökningen (+8%) i mars är den primära orsaken till marginalpress. Begär prisfrysning Q2 eller utvärdera Martin &amp; Servera för 30% av volymen.</w:t>
      </w:r>
    </w:p>
    <w:p>
      <w:pPr>
        <w:pStyle w:val="ListNumber"/>
      </w:pPr>
      <w:r>
        <w:rPr>
          <w:sz w:val="22"/>
        </w:rPr>
        <w:t>Åtgärda personalöverkostnad: Personalkostnaden på 61,5% av omsättningen är långt över branschsnittet (35-40%). Revidera schemaläggningen och minska beroende av övertid.</w:t>
      </w:r>
    </w:p>
    <w:p>
      <w:pPr>
        <w:pStyle w:val="ListNumber"/>
      </w:pPr>
      <w:r>
        <w:rPr>
          <w:sz w:val="22"/>
        </w:rPr>
        <w:t>Kassaflödesplanering: Löner betalas den 25:e men intäkter är löpande — säkerställ tillräcklig buffert (rekommenderat: 150 000 kr minimum i rörelsekapital).</w:t>
      </w:r>
    </w:p>
    <w:p>
      <w:pPr>
        <w:pStyle w:val="ListNumber"/>
      </w:pPr>
      <w:r>
        <w:rPr>
          <w:sz w:val="22"/>
        </w:rPr>
        <w:t>Q2-budgetrevision: Givet nya kostnadsnivåer bör Q2-budgeten revideras uppåt för råvaror (+8%) och personal.</w:t>
      </w:r>
    </w:p>
    <w:p/>
    <w:p>
      <w:pPr>
        <w:jc w:val="center"/>
      </w:pPr>
      <w:r>
        <w:rPr>
          <w:color w:val="9B9690"/>
          <w:sz w:val="16"/>
        </w:rPr>
        <w:t>Rapport genererad: 2026-03-16 11:43  ·  Restaurang Björken AB  ·  Konfidentiellt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