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B6860"/>
          <w:sz w:val="22"/>
          <w:szCs w:val="22"/>
        </w:rPr>
        <w:t xml:space="preserve">MONTHLY FINANCIAL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Restaurang Björken AB</w:t>
      </w:r>
    </w:p>
    <w:p>
      <w:pPr>
        <w:spacing w:after="80"/>
        <w:jc w:val="center"/>
      </w:pPr>
      <w:r>
        <w:rPr>
          <w:rFonts w:ascii="Arial" w:cs="Arial" w:eastAsia="Arial" w:hAnsi="Arial"/>
          <w:color w:val="185FA5"/>
          <w:sz w:val="40"/>
          <w:szCs w:val="40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559059-3025</w:t>
      </w:r>
    </w:p>
    <w:p>
      <w:pPr>
        <w:spacing w:after="2000"/>
        <w:jc w:val="center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Hornsgatan 14, 118 20 Stockholm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Borders>
              <w:top w:val="single" w:color="1E2761" w:sz="4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6860"/>
          <w:sz w:val="18"/>
          <w:szCs w:val="18"/>
        </w:rPr>
        <w:t xml:space="preserve">Generated 2026-03-24 · Command Center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This report covers the financial performance of Restaurang Björken AB for the period 2026-03-01 to 2026-03-31.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Feb</w:t>
            </w:r>
          </w:p>
        </w:tc>
      </w:tr>
      <w:tr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28"/>
                <w:szCs w:val="28"/>
              </w:rPr>
              <w:t xml:space="preserve">505 900 kr</w:t>
            </w:r>
          </w:p>
        </w:tc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35"/>
                <w:sz w:val="28"/>
                <w:szCs w:val="28"/>
              </w:rPr>
              <w:t xml:space="preserve">38 700 kr</w:t>
            </w:r>
          </w:p>
        </w:tc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28"/>
                <w:szCs w:val="28"/>
              </w:rPr>
              <w:t xml:space="preserve">7.7%</w:t>
            </w:r>
          </w:p>
        </w:tc>
        <w:tc>
          <w:tcPr>
            <w:tcW w:type="dxa" w:w="234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35"/>
                <w:sz w:val="28"/>
                <w:szCs w:val="28"/>
              </w:rPr>
              <w:t xml:space="preserve">+9.6%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AI Analysis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Revenue grew 9.6% vs February driven by increased weekend covers.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Staff costs remain the primary concern at 44.5% vs the 40% target — 4.5 pp above plan, representing approx 22,700 kr excess spend.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Food costs well-managed at 29.5% vs 31% target. Menigo renegotiation delivering expected savings.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Key risk: If staff costs stay elevated through Q2, full-year margin will settle at 7-8% vs 12% target.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Opportunity: Revenue momentum (+9.6%) is strong. Consider extending Thursday evening hours.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Key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917"/>
          <w:sz w:val="22"/>
          <w:szCs w:val="22"/>
        </w:rPr>
        <w:t xml:space="preserve">Audit overtime usage — quantify avoidable premium-time hours in March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Review Caspeco schedule data against actual payroll to find scheduling gaps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Renegotiate Sysco contract before renewal in June — benchmark against Menigo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Consider a 5% price increase on premium menu items to support margin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917"/>
          <w:sz w:val="22"/>
          <w:szCs w:val="22"/>
        </w:rPr>
        <w:t xml:space="preserve">Target 10% revenue growth in April by promoting the lunch menu via social media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Financial Tables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Income Statement — March 2026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000"/>
        <w:gridCol w:w="1700"/>
        <w:gridCol w:w="1700"/>
      </w:tblGrid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(kr)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%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505 900 kr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100.0%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Staff costs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224 978 kr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44.5%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40.0%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Food &amp; beverage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6A35"/>
                <w:sz w:val="20"/>
                <w:szCs w:val="20"/>
              </w:rPr>
              <w:t xml:space="preserve">149 300 kr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6A35"/>
                <w:sz w:val="20"/>
                <w:szCs w:val="20"/>
              </w:rPr>
              <w:t xml:space="preserve">29.5%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31.0%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Rent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64 500 kr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12.7%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13.0%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28 422 kr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5.6%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38 700 kr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7.7%</w:t>
            </w:r>
          </w:p>
        </w:tc>
        <w:tc>
          <w:tcPr>
            <w:tcW w:type="dxa" w:w="1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12.0%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Top Expenses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Menigo Foodservice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Food &amp; Beverage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35 064 kr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Sysco Sverige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Food &amp; Beverage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43 624 kr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Lokalhyra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Rent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64 500 kr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Personalkostnader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Staff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224 978 kr</w:t>
            </w:r>
          </w:p>
        </w:tc>
      </w:tr>
      <w:tr>
        <w:tc>
          <w:tcPr>
            <w:tcW w:type="dxa" w:w="39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Städ &amp; Renhållning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7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18 200 kr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KPI Dashboard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Performance against targets for March 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000"/>
        <w:gridCol w:w="2000"/>
      </w:tblGrid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Revenue growth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+9.6%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+8.0%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35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Staff cost %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44.5%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40.0%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Over target</w:t>
            </w:r>
          </w:p>
        </w:tc>
      </w:tr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Food cost %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29.5%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31.0%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35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Rent %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12.7%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13.0%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35"/>
                <w:sz w:val="20"/>
                <w:szCs w:val="20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Net margin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7.7%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12.0%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Over target</w:t>
            </w:r>
          </w:p>
        </w:tc>
      </w:tr>
      <w:tr>
        <w:tc>
          <w:tcPr>
            <w:tcW w:type="dxa" w:w="32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Profit growth</w:t>
            </w:r>
          </w:p>
        </w:tc>
        <w:tc>
          <w:tcPr>
            <w:tcW w:type="dxa" w:w="216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+32.1%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2"/>
                <w:szCs w:val="22"/>
              </w:rPr>
              <w:t xml:space="preserve">+20.0%</w:t>
            </w:r>
          </w:p>
        </w:tc>
        <w:tc>
          <w:tcPr>
            <w:tcW w:type="dxa" w:w="2000"/>
            <w:tcBorders>
              <w:top w:val="single" w:color="C8C3BB" w:sz="4"/>
              <w:left w:val="single" w:color="C8C3BB" w:sz="4"/>
              <w:bottom w:val="single" w:color="C8C3BB" w:sz="4"/>
              <w:right w:val="single" w:color="C8C3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35"/>
                <w:sz w:val="20"/>
                <w:szCs w:val="20"/>
              </w:rPr>
              <w:t xml:space="preserve">On target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Notes &amp; Disclaimers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This report was generated automatically by Command Center using data from Fortnox and uploaded documents.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All figures are in Swedish kronor (SEK) unless otherwise noted.</w:t>
      </w:r>
    </w:p>
    <w:p>
      <w:pPr>
        <w:spacing w:after="120"/>
        <w:jc w:val="left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AI analysis sections were generated using Anthropic Claude and should be reviewed by a qualified accountant before being relied upon for major decisions.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Report period: 2026-03-01 to 2026-03-31</w:t>
      </w:r>
    </w:p>
    <w:p>
      <w:pPr>
        <w:spacing w:after="12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Generated: 2026-03-24</w:t>
      </w:r>
    </w:p>
    <w:p>
      <w:pPr>
        <w:spacing w:after="12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Organisation: 559059-3025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E8" w:sz="4"/>
      </w:pBdr>
      <w:jc w:val="center"/>
    </w:pPr>
    <w:r>
      <w:rPr>
        <w:rFonts w:ascii="Arial" w:cs="Arial" w:eastAsia="Arial" w:hAnsi="Arial"/>
        <w:color w:val="6B6860"/>
        <w:sz w:val="18"/>
        <w:szCs w:val="18"/>
      </w:rPr>
      <w:t xml:space="preserve">Page </w:t>
    </w:r>
    <w:r>
      <w:rPr>
        <w:rFonts w:ascii="Arial" w:cs="Arial" w:eastAsia="Arial" w:hAnsi="Arial"/>
        <w:color w:val="6B68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860"/>
        <w:sz w:val="18"/>
        <w:szCs w:val="18"/>
      </w:rPr>
      <w:t xml:space="preserve"> of </w:t>
    </w:r>
    <w:r>
      <w:rPr>
        <w:rFonts w:ascii="Arial" w:cs="Arial" w:eastAsia="Arial" w:hAnsi="Arial"/>
        <w:color w:val="6B686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6860"/>
        <w:sz w:val="18"/>
        <w:szCs w:val="18"/>
      </w:rPr>
      <w:t xml:space="preserve">  ·  Confidential  ·  Generated 2026-03-24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DE8" w:sz="4"/>
      </w:pBdr>
      <w:jc w:val="right"/>
    </w:pPr>
    <w:r>
      <w:rPr>
        <w:rFonts w:ascii="Arial" w:cs="Arial" w:eastAsia="Arial" w:hAnsi="Arial"/>
        <w:color w:val="6B6860"/>
        <w:sz w:val="18"/>
        <w:szCs w:val="18"/>
      </w:rPr>
      <w:t xml:space="preserve">Restaurang Björken AB  ·  March 2026  ·  Command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DDE8" w:sz="6"/>
      </w:pBdr>
      <w:spacing w:before="360" w:after="20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Restaurang Björken AB — March 2026 Report</dc:title>
  <dc:subject>Monthly Financial Report</dc:subject>
  <dc:creator>Command Center</dc:creator>
  <cp:keywords>restaurant finance monthly report</cp:keywords>
  <cp:lastModifiedBy>Un-named</cp:lastModifiedBy>
  <cp:revision>1</cp:revision>
  <dcterms:created xsi:type="dcterms:W3CDTF">2026-03-24T16:19:17.761Z</dcterms:created>
  <dcterms:modified xsi:type="dcterms:W3CDTF">2026-03-24T16:19:17.761Z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