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654" w:rsidRPr="008B4333" w:rsidRDefault="005B1D95" w:rsidP="002C1654">
      <w:pPr>
        <w:jc w:val="center"/>
        <w:rPr>
          <w:b/>
        </w:rPr>
      </w:pPr>
      <w:r>
        <w:rPr>
          <w:b/>
        </w:rPr>
        <w:t>STK 353</w:t>
      </w:r>
    </w:p>
    <w:p w:rsidR="005B1D95" w:rsidRPr="008B4333" w:rsidRDefault="00C779D6" w:rsidP="005B1D95">
      <w:pPr>
        <w:jc w:val="center"/>
        <w:rPr>
          <w:b/>
        </w:rPr>
      </w:pPr>
      <w:r>
        <w:rPr>
          <w:b/>
        </w:rPr>
        <w:t>Practical 1</w:t>
      </w:r>
      <w:r w:rsidR="005B1D95" w:rsidRPr="008B4333">
        <w:rPr>
          <w:b/>
        </w:rPr>
        <w:t xml:space="preserve">: </w:t>
      </w:r>
      <w:r>
        <w:rPr>
          <w:b/>
        </w:rPr>
        <w:t>Basics</w:t>
      </w:r>
    </w:p>
    <w:p w:rsidR="00ED36D4" w:rsidRDefault="00ED36D4" w:rsidP="00ED36D4">
      <w:r>
        <w:t xml:space="preserve">Name: </w:t>
      </w:r>
      <w:r w:rsidR="000D4A39">
        <w:t xml:space="preserve">SJP </w:t>
      </w:r>
      <w:proofErr w:type="spellStart"/>
      <w:r w:rsidR="000D4A39">
        <w:t>Eloff</w:t>
      </w:r>
      <w:proofErr w:type="spellEnd"/>
    </w:p>
    <w:p w:rsidR="00ED36D4" w:rsidRDefault="00ED36D4" w:rsidP="00ED36D4">
      <w:r>
        <w:t xml:space="preserve">Student number: </w:t>
      </w:r>
      <w:r w:rsidR="000D4A39">
        <w:t>10237161</w:t>
      </w:r>
    </w:p>
    <w:p w:rsidR="00ED36D4" w:rsidRDefault="00ED36D4" w:rsidP="00ED36D4"/>
    <w:p w:rsidR="005B1D95" w:rsidRDefault="00C779D6" w:rsidP="005B1D95">
      <w:r>
        <w:t>Submission: 23</w:t>
      </w:r>
      <w:r w:rsidR="005B1D95">
        <w:t xml:space="preserve"> </w:t>
      </w:r>
      <w:r>
        <w:t>July 2018, 17</w:t>
      </w:r>
      <w:r w:rsidR="005B1D95" w:rsidRPr="008B4333">
        <w:t>:30</w:t>
      </w:r>
    </w:p>
    <w:p w:rsidR="002E3610" w:rsidRDefault="002C1654">
      <w:r>
        <w:t>Answer Sheet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562"/>
        <w:gridCol w:w="8454"/>
      </w:tblGrid>
      <w:tr w:rsidR="005B1D95" w:rsidTr="00C779D6">
        <w:trPr>
          <w:trHeight w:val="989"/>
        </w:trPr>
        <w:tc>
          <w:tcPr>
            <w:tcW w:w="562" w:type="dxa"/>
            <w:tcBorders>
              <w:top w:val="thinThickSmallGap" w:sz="12" w:space="0" w:color="auto"/>
              <w:bottom w:val="thinThickSmallGap" w:sz="12" w:space="0" w:color="auto"/>
            </w:tcBorders>
          </w:tcPr>
          <w:p w:rsidR="005B1D95" w:rsidRDefault="00C779D6">
            <w:r>
              <w:t>1</w:t>
            </w:r>
          </w:p>
        </w:tc>
        <w:tc>
          <w:tcPr>
            <w:tcW w:w="8454" w:type="dxa"/>
          </w:tcPr>
          <w:p w:rsidR="005B1D95" w:rsidRDefault="000D4A39" w:rsidP="0058134B">
            <w:r>
              <w:t>A grey box show</w:t>
            </w:r>
            <w:r w:rsidR="0058134B">
              <w:t>s up</w:t>
            </w:r>
            <w:r>
              <w:t xml:space="preserve"> under the ‘Plot’ tab, where I assumed the plotted graph was supposed to appear.</w:t>
            </w:r>
          </w:p>
        </w:tc>
      </w:tr>
      <w:tr w:rsidR="00C779D6" w:rsidTr="00C779D6">
        <w:trPr>
          <w:trHeight w:val="1076"/>
        </w:trPr>
        <w:tc>
          <w:tcPr>
            <w:tcW w:w="562" w:type="dxa"/>
            <w:tcBorders>
              <w:top w:val="thinThickSmallGap" w:sz="12" w:space="0" w:color="auto"/>
              <w:bottom w:val="thinThickSmallGap" w:sz="12" w:space="0" w:color="auto"/>
            </w:tcBorders>
          </w:tcPr>
          <w:p w:rsidR="00C779D6" w:rsidRDefault="00C779D6">
            <w:r>
              <w:t>2</w:t>
            </w:r>
          </w:p>
        </w:tc>
        <w:tc>
          <w:tcPr>
            <w:tcW w:w="8454" w:type="dxa"/>
          </w:tcPr>
          <w:p w:rsidR="00C779D6" w:rsidRPr="000D4A39" w:rsidRDefault="000D4A39">
            <w:r>
              <w:t xml:space="preserve">The dataset </w:t>
            </w:r>
            <w:r>
              <w:rPr>
                <w:i/>
              </w:rPr>
              <w:t>mpg</w:t>
            </w:r>
            <w:r>
              <w:t xml:space="preserve"> consists of 234 rows and 11 columns.</w:t>
            </w:r>
          </w:p>
        </w:tc>
      </w:tr>
      <w:tr w:rsidR="00C779D6" w:rsidTr="00C779D6">
        <w:trPr>
          <w:trHeight w:val="1078"/>
        </w:trPr>
        <w:tc>
          <w:tcPr>
            <w:tcW w:w="562" w:type="dxa"/>
            <w:tcBorders>
              <w:top w:val="thinThickSmallGap" w:sz="12" w:space="0" w:color="auto"/>
              <w:bottom w:val="thinThickSmallGap" w:sz="12" w:space="0" w:color="auto"/>
            </w:tcBorders>
          </w:tcPr>
          <w:p w:rsidR="00C779D6" w:rsidRDefault="00C779D6">
            <w:r>
              <w:t>3</w:t>
            </w:r>
          </w:p>
        </w:tc>
        <w:tc>
          <w:tcPr>
            <w:tcW w:w="8454" w:type="dxa"/>
          </w:tcPr>
          <w:p w:rsidR="00C779D6" w:rsidRPr="0058134B" w:rsidRDefault="0058134B">
            <w:r>
              <w:t>The variable named</w:t>
            </w:r>
            <w:r w:rsidR="000D4A39">
              <w:t xml:space="preserve"> </w:t>
            </w:r>
            <w:proofErr w:type="spellStart"/>
            <w:r w:rsidR="000D4A39">
              <w:rPr>
                <w:i/>
              </w:rPr>
              <w:t>drv</w:t>
            </w:r>
            <w:proofErr w:type="spellEnd"/>
            <w:r w:rsidR="000D4A39">
              <w:t xml:space="preserve"> describes</w:t>
            </w:r>
            <w:r>
              <w:t xml:space="preserve"> to which wheels the vehicle’s power output is sent.</w:t>
            </w:r>
          </w:p>
          <w:p w:rsidR="00C779D6" w:rsidRDefault="00C779D6"/>
        </w:tc>
      </w:tr>
      <w:tr w:rsidR="00C779D6" w:rsidTr="00C779D6">
        <w:trPr>
          <w:trHeight w:val="1066"/>
        </w:trPr>
        <w:tc>
          <w:tcPr>
            <w:tcW w:w="562" w:type="dxa"/>
            <w:tcBorders>
              <w:top w:val="thinThickSmallGap" w:sz="12" w:space="0" w:color="auto"/>
              <w:bottom w:val="thinThickSmallGap" w:sz="12" w:space="0" w:color="auto"/>
            </w:tcBorders>
          </w:tcPr>
          <w:p w:rsidR="00C779D6" w:rsidRDefault="00C779D6">
            <w:r>
              <w:t>4</w:t>
            </w:r>
          </w:p>
        </w:tc>
        <w:tc>
          <w:tcPr>
            <w:tcW w:w="8454" w:type="dxa"/>
          </w:tcPr>
          <w:p w:rsidR="001632A4" w:rsidRDefault="001632A4">
            <w:r>
              <w:t xml:space="preserve">Plot: </w:t>
            </w:r>
            <w:proofErr w:type="spellStart"/>
            <w:r>
              <w:rPr>
                <w:i/>
              </w:rPr>
              <w:t>hwy</w:t>
            </w:r>
            <w:proofErr w:type="spellEnd"/>
            <w:r>
              <w:rPr>
                <w:i/>
              </w:rPr>
              <w:t xml:space="preserve"> </w:t>
            </w:r>
            <w:r w:rsidRPr="001632A4">
              <w:t>vs</w:t>
            </w:r>
            <w:r>
              <w:rPr>
                <w:i/>
              </w:rPr>
              <w:t xml:space="preserve">. </w:t>
            </w:r>
            <w:proofErr w:type="spellStart"/>
            <w:r>
              <w:rPr>
                <w:i/>
              </w:rPr>
              <w:t>cyl</w:t>
            </w:r>
            <w:proofErr w:type="spellEnd"/>
          </w:p>
          <w:p w:rsidR="00C52194" w:rsidRPr="00C52194" w:rsidRDefault="00C52194"/>
          <w:p w:rsidR="001632A4" w:rsidRDefault="00C52194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1.75pt;height:255pt">
                  <v:imagedata r:id="rId6" o:title="scatter1"/>
                </v:shape>
              </w:pict>
            </w:r>
          </w:p>
          <w:p w:rsidR="001632A4" w:rsidRDefault="001632A4"/>
          <w:p w:rsidR="00C52194" w:rsidRDefault="00C52194"/>
          <w:p w:rsidR="00C52194" w:rsidRPr="001632A4" w:rsidRDefault="00C52194"/>
        </w:tc>
      </w:tr>
      <w:tr w:rsidR="00C779D6" w:rsidTr="00C779D6">
        <w:trPr>
          <w:trHeight w:val="1082"/>
        </w:trPr>
        <w:tc>
          <w:tcPr>
            <w:tcW w:w="562" w:type="dxa"/>
            <w:tcBorders>
              <w:top w:val="thinThickSmallGap" w:sz="12" w:space="0" w:color="auto"/>
              <w:bottom w:val="thinThickSmallGap" w:sz="12" w:space="0" w:color="auto"/>
            </w:tcBorders>
          </w:tcPr>
          <w:p w:rsidR="00C779D6" w:rsidRDefault="00C779D6">
            <w:r>
              <w:lastRenderedPageBreak/>
              <w:t>5</w:t>
            </w:r>
          </w:p>
        </w:tc>
        <w:tc>
          <w:tcPr>
            <w:tcW w:w="8454" w:type="dxa"/>
          </w:tcPr>
          <w:p w:rsidR="00C52194" w:rsidRDefault="00C52194" w:rsidP="00C52194">
            <w:r>
              <w:t xml:space="preserve">Plot: </w:t>
            </w:r>
            <w:proofErr w:type="spellStart"/>
            <w:r w:rsidRPr="00C52194">
              <w:rPr>
                <w:i/>
              </w:rPr>
              <w:t>drv</w:t>
            </w:r>
            <w:proofErr w:type="spellEnd"/>
            <w:r>
              <w:t xml:space="preserve"> vs. </w:t>
            </w:r>
            <w:r>
              <w:rPr>
                <w:i/>
              </w:rPr>
              <w:t>class</w:t>
            </w:r>
            <w:r>
              <w:t xml:space="preserve"> </w:t>
            </w:r>
          </w:p>
          <w:p w:rsidR="00C52194" w:rsidRDefault="00C52194" w:rsidP="00C52194"/>
          <w:p w:rsidR="00C52194" w:rsidRDefault="00C52194" w:rsidP="00C52194">
            <w:r>
              <w:pict>
                <v:shape id="_x0000_i1026" type="#_x0000_t75" style="width:411.75pt;height:255pt">
                  <v:imagedata r:id="rId7" o:title="scatter2"/>
                </v:shape>
              </w:pict>
            </w:r>
          </w:p>
          <w:p w:rsidR="00C52194" w:rsidRDefault="00C52194" w:rsidP="00C52194"/>
          <w:p w:rsidR="00C779D6" w:rsidRPr="001632A4" w:rsidRDefault="001632A4" w:rsidP="00C52194">
            <w:r>
              <w:t>The data doesn’t seem to tell us much and is chaotically</w:t>
            </w:r>
            <w:r>
              <w:t xml:space="preserve"> scattered. This is expected however</w:t>
            </w:r>
            <w:r w:rsidR="00C52194">
              <w:t>,</w:t>
            </w:r>
            <w:r>
              <w:t xml:space="preserve"> since a</w:t>
            </w:r>
            <w:r>
              <w:t xml:space="preserve">ny </w:t>
            </w:r>
            <w:proofErr w:type="spellStart"/>
            <w:r>
              <w:rPr>
                <w:i/>
              </w:rPr>
              <w:t>drv</w:t>
            </w:r>
            <w:proofErr w:type="spellEnd"/>
            <w:r>
              <w:t xml:space="preserve"> can be found in any </w:t>
            </w:r>
            <w:r>
              <w:rPr>
                <w:i/>
              </w:rPr>
              <w:t>class</w:t>
            </w:r>
            <w:r w:rsidR="00C52194">
              <w:t>, i.e. t</w:t>
            </w:r>
            <w:r>
              <w:t xml:space="preserve">here is </w:t>
            </w:r>
            <w:r w:rsidR="00C52194">
              <w:t xml:space="preserve">no reason </w:t>
            </w:r>
            <w:r>
              <w:t xml:space="preserve">to expect that </w:t>
            </w:r>
            <w:r w:rsidR="00C52194">
              <w:t>the variables</w:t>
            </w:r>
            <w:r>
              <w:t xml:space="preserve"> should correlate.</w:t>
            </w:r>
          </w:p>
        </w:tc>
      </w:tr>
      <w:tr w:rsidR="00C779D6" w:rsidTr="00C779D6">
        <w:trPr>
          <w:trHeight w:val="1211"/>
        </w:trPr>
        <w:tc>
          <w:tcPr>
            <w:tcW w:w="562" w:type="dxa"/>
            <w:tcBorders>
              <w:top w:val="thinThickSmallGap" w:sz="12" w:space="0" w:color="auto"/>
              <w:bottom w:val="thinThickSmallGap" w:sz="12" w:space="0" w:color="auto"/>
            </w:tcBorders>
          </w:tcPr>
          <w:p w:rsidR="00C779D6" w:rsidRDefault="00C779D6">
            <w:r>
              <w:t>6</w:t>
            </w:r>
          </w:p>
        </w:tc>
        <w:tc>
          <w:tcPr>
            <w:tcW w:w="8454" w:type="dxa"/>
          </w:tcPr>
          <w:p w:rsidR="00C779D6" w:rsidRDefault="00C52194">
            <w:r>
              <w:t xml:space="preserve">Categorical variables: </w:t>
            </w:r>
            <w:r w:rsidR="003E1CDA">
              <w:rPr>
                <w:i/>
              </w:rPr>
              <w:t xml:space="preserve">manufacturer, model, year, trans, </w:t>
            </w:r>
            <w:proofErr w:type="spellStart"/>
            <w:r w:rsidR="003E1CDA">
              <w:rPr>
                <w:i/>
              </w:rPr>
              <w:t>drv</w:t>
            </w:r>
            <w:proofErr w:type="spellEnd"/>
            <w:r w:rsidR="003E1CDA">
              <w:rPr>
                <w:i/>
              </w:rPr>
              <w:t xml:space="preserve">, </w:t>
            </w:r>
            <w:proofErr w:type="spellStart"/>
            <w:r w:rsidR="003E1CDA">
              <w:rPr>
                <w:i/>
              </w:rPr>
              <w:t>fl</w:t>
            </w:r>
            <w:proofErr w:type="spellEnd"/>
            <w:r w:rsidR="003E1CDA">
              <w:rPr>
                <w:i/>
              </w:rPr>
              <w:t>, class</w:t>
            </w:r>
            <w:r w:rsidR="003E1CDA">
              <w:t>.</w:t>
            </w:r>
          </w:p>
          <w:p w:rsidR="003E1CDA" w:rsidRDefault="003E1CDA"/>
          <w:p w:rsidR="003E1CDA" w:rsidRPr="003E1CDA" w:rsidRDefault="003E1CDA">
            <w:pPr>
              <w:rPr>
                <w:i/>
              </w:rPr>
            </w:pPr>
            <w:r>
              <w:t xml:space="preserve">Continuous variables: </w:t>
            </w:r>
            <w:proofErr w:type="spellStart"/>
            <w:r>
              <w:rPr>
                <w:i/>
              </w:rPr>
              <w:t>displ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cyl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cty</w:t>
            </w:r>
            <w:proofErr w:type="spellEnd"/>
            <w:r>
              <w:rPr>
                <w:i/>
              </w:rPr>
              <w:t>, hwy.</w:t>
            </w:r>
          </w:p>
        </w:tc>
      </w:tr>
      <w:tr w:rsidR="00C779D6" w:rsidTr="00C779D6">
        <w:trPr>
          <w:trHeight w:val="1074"/>
        </w:trPr>
        <w:tc>
          <w:tcPr>
            <w:tcW w:w="562" w:type="dxa"/>
            <w:tcBorders>
              <w:top w:val="thinThickSmallGap" w:sz="12" w:space="0" w:color="auto"/>
              <w:bottom w:val="thinThickSmallGap" w:sz="12" w:space="0" w:color="auto"/>
            </w:tcBorders>
          </w:tcPr>
          <w:p w:rsidR="00C779D6" w:rsidRDefault="00C779D6">
            <w:r>
              <w:t>7</w:t>
            </w:r>
          </w:p>
        </w:tc>
        <w:tc>
          <w:tcPr>
            <w:tcW w:w="8454" w:type="dxa"/>
          </w:tcPr>
          <w:p w:rsidR="00C779D6" w:rsidRDefault="003E1CDA">
            <w:r>
              <w:t xml:space="preserve">Plot: </w:t>
            </w:r>
            <w:proofErr w:type="spellStart"/>
            <w:r>
              <w:rPr>
                <w:i/>
              </w:rPr>
              <w:t>displ</w:t>
            </w:r>
            <w:proofErr w:type="spellEnd"/>
            <w:r>
              <w:t xml:space="preserve"> vs. </w:t>
            </w:r>
            <w:proofErr w:type="spellStart"/>
            <w:r>
              <w:rPr>
                <w:i/>
              </w:rPr>
              <w:t>cty</w:t>
            </w:r>
            <w:proofErr w:type="spellEnd"/>
            <w:r w:rsidR="0057228F">
              <w:t xml:space="preserve"> (to </w:t>
            </w:r>
            <w:proofErr w:type="spellStart"/>
            <w:r w:rsidR="0057228F">
              <w:t>color</w:t>
            </w:r>
            <w:proofErr w:type="spellEnd"/>
            <w:r w:rsidR="0057228F">
              <w:t>)</w:t>
            </w:r>
          </w:p>
          <w:p w:rsidR="0057228F" w:rsidRDefault="0057228F"/>
          <w:p w:rsidR="001233ED" w:rsidRDefault="0057228F">
            <w:r>
              <w:lastRenderedPageBreak/>
              <w:pict>
                <v:shape id="_x0000_i1027" type="#_x0000_t75" style="width:384.75pt;height:330pt">
                  <v:imagedata r:id="rId8" o:title="paul1"/>
                </v:shape>
              </w:pict>
            </w:r>
          </w:p>
          <w:p w:rsidR="003E1CDA" w:rsidRDefault="003E1CDA"/>
          <w:p w:rsidR="001233ED" w:rsidRDefault="0057228F">
            <w:r>
              <w:t xml:space="preserve">The </w:t>
            </w:r>
            <w:proofErr w:type="spellStart"/>
            <w:r>
              <w:t>color</w:t>
            </w:r>
            <w:proofErr w:type="spellEnd"/>
            <w:r>
              <w:t xml:space="preserve"> aesthetic maps the magnitude of </w:t>
            </w:r>
            <w:proofErr w:type="spellStart"/>
            <w:r>
              <w:rPr>
                <w:i/>
              </w:rPr>
              <w:t>cty</w:t>
            </w:r>
            <w:proofErr w:type="spellEnd"/>
            <w:r>
              <w:t xml:space="preserve"> to a lighter shade of blue the greater the value.</w:t>
            </w:r>
          </w:p>
          <w:p w:rsidR="001233ED" w:rsidRDefault="001233ED"/>
          <w:p w:rsidR="001233ED" w:rsidRDefault="001233ED">
            <w:r>
              <w:t xml:space="preserve">Plot: </w:t>
            </w:r>
            <w:proofErr w:type="spellStart"/>
            <w:r>
              <w:rPr>
                <w:i/>
              </w:rPr>
              <w:t>displ</w:t>
            </w:r>
            <w:proofErr w:type="spellEnd"/>
            <w:r>
              <w:t xml:space="preserve"> vs. </w:t>
            </w:r>
            <w:proofErr w:type="spellStart"/>
            <w:r>
              <w:rPr>
                <w:i/>
              </w:rPr>
              <w:t>cty</w:t>
            </w:r>
            <w:proofErr w:type="spellEnd"/>
            <w:r>
              <w:t xml:space="preserve"> (to size</w:t>
            </w:r>
            <w:r w:rsidR="0057228F">
              <w:t>)</w:t>
            </w:r>
          </w:p>
          <w:p w:rsidR="001233ED" w:rsidRDefault="001233ED"/>
          <w:p w:rsidR="0057228F" w:rsidRDefault="0057228F"/>
          <w:p w:rsidR="0057228F" w:rsidRDefault="0057228F"/>
          <w:p w:rsidR="001233ED" w:rsidRDefault="0057228F">
            <w:r>
              <w:lastRenderedPageBreak/>
              <w:pict>
                <v:shape id="_x0000_i1028" type="#_x0000_t75" style="width:384.75pt;height:330pt">
                  <v:imagedata r:id="rId9" o:title="paul2"/>
                </v:shape>
              </w:pict>
            </w:r>
          </w:p>
          <w:p w:rsidR="0057228F" w:rsidRDefault="0057228F" w:rsidP="0057228F">
            <w:r>
              <w:t xml:space="preserve">The </w:t>
            </w:r>
            <w:r>
              <w:t>size</w:t>
            </w:r>
            <w:r>
              <w:t xml:space="preserve"> aesthetic maps the magnitude of </w:t>
            </w:r>
            <w:proofErr w:type="spellStart"/>
            <w:r>
              <w:rPr>
                <w:i/>
              </w:rPr>
              <w:t>cty</w:t>
            </w:r>
            <w:proofErr w:type="spellEnd"/>
            <w:r>
              <w:t xml:space="preserve"> to a </w:t>
            </w:r>
            <w:r>
              <w:t>larger black dot</w:t>
            </w:r>
            <w:r>
              <w:t xml:space="preserve"> the greater the value.</w:t>
            </w:r>
          </w:p>
          <w:p w:rsidR="0057228F" w:rsidRDefault="0057228F"/>
          <w:p w:rsidR="001233ED" w:rsidRDefault="001233ED">
            <w:r>
              <w:t xml:space="preserve">Plot: </w:t>
            </w:r>
            <w:proofErr w:type="spellStart"/>
            <w:r>
              <w:rPr>
                <w:i/>
              </w:rPr>
              <w:t>displ</w:t>
            </w:r>
            <w:proofErr w:type="spellEnd"/>
            <w:r>
              <w:t xml:space="preserve"> vs. </w:t>
            </w:r>
            <w:proofErr w:type="spellStart"/>
            <w:r>
              <w:rPr>
                <w:i/>
              </w:rPr>
              <w:t>cty</w:t>
            </w:r>
            <w:proofErr w:type="spellEnd"/>
            <w:r>
              <w:t xml:space="preserve"> (to </w:t>
            </w:r>
            <w:r>
              <w:t>shape</w:t>
            </w:r>
            <w:r w:rsidR="0057228F">
              <w:t>)</w:t>
            </w:r>
          </w:p>
          <w:p w:rsidR="001233ED" w:rsidRDefault="001233ED"/>
          <w:p w:rsidR="001233ED" w:rsidRDefault="0057228F">
            <w:r>
              <w:t xml:space="preserve">This graph is unattainable since continuous variables cannot be mapped to </w:t>
            </w:r>
            <w:proofErr w:type="gramStart"/>
            <w:r>
              <w:t>unordered</w:t>
            </w:r>
            <w:proofErr w:type="gramEnd"/>
            <w:r>
              <w:t xml:space="preserve"> descriptors e.g. shapes.</w:t>
            </w:r>
          </w:p>
          <w:p w:rsidR="001233ED" w:rsidRDefault="001233ED"/>
          <w:p w:rsidR="001233ED" w:rsidRPr="003E1CDA" w:rsidRDefault="001233ED"/>
        </w:tc>
      </w:tr>
      <w:tr w:rsidR="00C779D6" w:rsidTr="00C779D6">
        <w:trPr>
          <w:trHeight w:val="1075"/>
        </w:trPr>
        <w:tc>
          <w:tcPr>
            <w:tcW w:w="562" w:type="dxa"/>
            <w:tcBorders>
              <w:top w:val="thinThickSmallGap" w:sz="12" w:space="0" w:color="auto"/>
              <w:bottom w:val="thinThickSmallGap" w:sz="12" w:space="0" w:color="auto"/>
            </w:tcBorders>
          </w:tcPr>
          <w:p w:rsidR="00C779D6" w:rsidRDefault="00C779D6">
            <w:r>
              <w:lastRenderedPageBreak/>
              <w:t>8</w:t>
            </w:r>
          </w:p>
        </w:tc>
        <w:tc>
          <w:tcPr>
            <w:tcW w:w="8454" w:type="dxa"/>
          </w:tcPr>
          <w:p w:rsidR="00C779D6" w:rsidRDefault="0057228F" w:rsidP="0057228F">
            <w:r>
              <w:t xml:space="preserve">Plot: </w:t>
            </w:r>
            <w:proofErr w:type="spellStart"/>
            <w:r>
              <w:rPr>
                <w:i/>
              </w:rPr>
              <w:t>displ</w:t>
            </w:r>
            <w:proofErr w:type="spellEnd"/>
            <w:r>
              <w:t xml:space="preserve"> vs. </w:t>
            </w:r>
            <w:proofErr w:type="spellStart"/>
            <w:r w:rsidRPr="0057228F">
              <w:rPr>
                <w:i/>
              </w:rPr>
              <w:t>cty</w:t>
            </w:r>
            <w:proofErr w:type="spellEnd"/>
            <w:r>
              <w:t xml:space="preserve"> (to </w:t>
            </w:r>
            <w:proofErr w:type="spellStart"/>
            <w:r>
              <w:t>color</w:t>
            </w:r>
            <w:proofErr w:type="spellEnd"/>
            <w:r>
              <w:t xml:space="preserve"> and shape)</w:t>
            </w:r>
          </w:p>
          <w:p w:rsidR="0057228F" w:rsidRDefault="0057228F" w:rsidP="0057228F"/>
          <w:p w:rsidR="0057228F" w:rsidRDefault="0057228F" w:rsidP="0057228F"/>
          <w:p w:rsidR="0057228F" w:rsidRDefault="0057228F" w:rsidP="0057228F"/>
          <w:p w:rsidR="0057228F" w:rsidRDefault="0057228F" w:rsidP="0057228F"/>
          <w:p w:rsidR="0057228F" w:rsidRDefault="0057228F" w:rsidP="0057228F">
            <w:r>
              <w:lastRenderedPageBreak/>
              <w:pict>
                <v:shape id="_x0000_i1029" type="#_x0000_t75" style="width:384.75pt;height:330pt">
                  <v:imagedata r:id="rId10" o:title="paul8"/>
                </v:shape>
              </w:pict>
            </w:r>
          </w:p>
          <w:p w:rsidR="0057228F" w:rsidRDefault="0057228F" w:rsidP="0057228F"/>
          <w:p w:rsidR="0057228F" w:rsidRDefault="0057228F" w:rsidP="0057228F">
            <w:r>
              <w:t>As shown above, multiple aesthetics can be implemented in our graphical representation of the data.</w:t>
            </w:r>
          </w:p>
          <w:p w:rsidR="0057228F" w:rsidRPr="0057228F" w:rsidRDefault="0057228F" w:rsidP="0057228F"/>
        </w:tc>
      </w:tr>
      <w:tr w:rsidR="00C779D6" w:rsidTr="00C779D6">
        <w:trPr>
          <w:trHeight w:val="935"/>
        </w:trPr>
        <w:tc>
          <w:tcPr>
            <w:tcW w:w="562" w:type="dxa"/>
            <w:tcBorders>
              <w:top w:val="thinThickSmallGap" w:sz="12" w:space="0" w:color="auto"/>
              <w:bottom w:val="thinThickSmallGap" w:sz="12" w:space="0" w:color="auto"/>
            </w:tcBorders>
          </w:tcPr>
          <w:p w:rsidR="00C779D6" w:rsidRDefault="00C779D6">
            <w:r>
              <w:lastRenderedPageBreak/>
              <w:t>9</w:t>
            </w:r>
          </w:p>
        </w:tc>
        <w:tc>
          <w:tcPr>
            <w:tcW w:w="8454" w:type="dxa"/>
          </w:tcPr>
          <w:p w:rsidR="00C779D6" w:rsidRPr="00F47D70" w:rsidRDefault="00F47D70">
            <w:r>
              <w:t xml:space="preserve">The stroke aesthetic magnifies the data points visually. The </w:t>
            </w:r>
            <w:proofErr w:type="gramStart"/>
            <w:r>
              <w:t xml:space="preserve">function </w:t>
            </w:r>
            <w:r>
              <w:rPr>
                <w:i/>
              </w:rPr>
              <w:t>?</w:t>
            </w:r>
            <w:proofErr w:type="spellStart"/>
            <w:proofErr w:type="gramEnd"/>
            <w:r>
              <w:rPr>
                <w:i/>
              </w:rPr>
              <w:t>geom_point</w:t>
            </w:r>
            <w:proofErr w:type="spellEnd"/>
            <w:r>
              <w:t xml:space="preserve"> also tells us that the stroke aesthetic defines the width of the border of shapes.</w:t>
            </w:r>
          </w:p>
          <w:p w:rsidR="0057228F" w:rsidRDefault="0057228F"/>
        </w:tc>
      </w:tr>
      <w:tr w:rsidR="00C779D6" w:rsidTr="00C779D6">
        <w:trPr>
          <w:trHeight w:val="920"/>
        </w:trPr>
        <w:tc>
          <w:tcPr>
            <w:tcW w:w="562" w:type="dxa"/>
            <w:tcBorders>
              <w:top w:val="thinThickSmallGap" w:sz="12" w:space="0" w:color="auto"/>
            </w:tcBorders>
          </w:tcPr>
          <w:p w:rsidR="00C779D6" w:rsidRDefault="00C779D6">
            <w:r>
              <w:t>10</w:t>
            </w:r>
          </w:p>
        </w:tc>
        <w:tc>
          <w:tcPr>
            <w:tcW w:w="8454" w:type="dxa"/>
          </w:tcPr>
          <w:p w:rsidR="00C779D6" w:rsidRPr="00A0086C" w:rsidRDefault="00A0086C">
            <w:pPr>
              <w:rPr>
                <w:i/>
              </w:rPr>
            </w:pPr>
            <w:r>
              <w:t xml:space="preserve">To draw a line chart, use </w:t>
            </w:r>
            <w:proofErr w:type="spellStart"/>
            <w:r w:rsidRPr="00A0086C">
              <w:rPr>
                <w:i/>
              </w:rPr>
              <w:t>geom_</w:t>
            </w:r>
            <w:proofErr w:type="gramStart"/>
            <w:r w:rsidRPr="00A0086C">
              <w:rPr>
                <w:i/>
              </w:rPr>
              <w:t>line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  <w:r>
              <w:t xml:space="preserve">. For a </w:t>
            </w:r>
            <w:bookmarkStart w:id="0" w:name="_GoBack"/>
            <w:bookmarkEnd w:id="0"/>
            <w:r>
              <w:t xml:space="preserve">boxplot, use </w:t>
            </w:r>
            <w:proofErr w:type="spellStart"/>
            <w:r>
              <w:rPr>
                <w:i/>
              </w:rPr>
              <w:t>geom_</w:t>
            </w:r>
            <w:proofErr w:type="gramStart"/>
            <w:r>
              <w:rPr>
                <w:i/>
              </w:rPr>
              <w:t>boxplot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  <w:r>
              <w:t xml:space="preserve">. For a histogram, use </w:t>
            </w:r>
            <w:proofErr w:type="spellStart"/>
            <w:r>
              <w:rPr>
                <w:i/>
              </w:rPr>
              <w:t>geom_</w:t>
            </w:r>
            <w:proofErr w:type="gramStart"/>
            <w:r>
              <w:rPr>
                <w:i/>
              </w:rPr>
              <w:t>histogram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  <w:r>
              <w:t xml:space="preserve">. For an area chart, use </w:t>
            </w:r>
            <w:proofErr w:type="spellStart"/>
            <w:r>
              <w:rPr>
                <w:i/>
              </w:rPr>
              <w:t>geom_area</w:t>
            </w:r>
            <w:proofErr w:type="spellEnd"/>
            <w:r>
              <w:rPr>
                <w:i/>
              </w:rPr>
              <w:t>(),</w:t>
            </w:r>
          </w:p>
        </w:tc>
      </w:tr>
    </w:tbl>
    <w:p w:rsidR="00717F0D" w:rsidRDefault="00717F0D" w:rsidP="00717F0D">
      <w:pPr>
        <w:spacing w:after="0" w:line="240" w:lineRule="auto"/>
        <w:rPr>
          <w:rFonts w:cs="Times New Roman"/>
        </w:rPr>
      </w:pPr>
    </w:p>
    <w:p w:rsidR="00CF7982" w:rsidRPr="00012981" w:rsidRDefault="00012981">
      <w:pPr>
        <w:rPr>
          <w:b/>
          <w:sz w:val="28"/>
          <w:szCs w:val="28"/>
        </w:rPr>
      </w:pPr>
      <w:r w:rsidRPr="00012981">
        <w:rPr>
          <w:b/>
          <w:sz w:val="28"/>
          <w:szCs w:val="28"/>
        </w:rPr>
        <w:t xml:space="preserve">Total </w:t>
      </w:r>
      <w:r w:rsidR="00CF7982" w:rsidRPr="00012981">
        <w:rPr>
          <w:b/>
          <w:sz w:val="28"/>
          <w:szCs w:val="28"/>
        </w:rPr>
        <w:t>Marks</w:t>
      </w:r>
      <w:r w:rsidR="00C779D6">
        <w:rPr>
          <w:b/>
          <w:sz w:val="28"/>
          <w:szCs w:val="28"/>
        </w:rPr>
        <w:t xml:space="preserve"> (out of 1</w:t>
      </w:r>
      <w:r w:rsidRPr="00012981">
        <w:rPr>
          <w:b/>
          <w:sz w:val="28"/>
          <w:szCs w:val="28"/>
        </w:rPr>
        <w:t>0)</w:t>
      </w:r>
      <w:r w:rsidR="00CF7982" w:rsidRPr="00012981">
        <w:rPr>
          <w:b/>
          <w:sz w:val="28"/>
          <w:szCs w:val="28"/>
        </w:rPr>
        <w:t xml:space="preserve">:      </w:t>
      </w:r>
    </w:p>
    <w:p w:rsidR="00B933B2" w:rsidRDefault="00B933B2"/>
    <w:sectPr w:rsidR="00B93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C52A4"/>
    <w:multiLevelType w:val="hybridMultilevel"/>
    <w:tmpl w:val="918C0D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F4130C"/>
    <w:multiLevelType w:val="hybridMultilevel"/>
    <w:tmpl w:val="A0B836C8"/>
    <w:lvl w:ilvl="0" w:tplc="795E92AE">
      <w:start w:val="1"/>
      <w:numFmt w:val="lowerLetter"/>
      <w:lvlText w:val="%1)"/>
      <w:lvlJc w:val="left"/>
      <w:pPr>
        <w:ind w:left="360" w:hanging="360"/>
      </w:pPr>
      <w:rPr>
        <w:rFonts w:eastAsiaTheme="minorHAnsi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A116615"/>
    <w:multiLevelType w:val="hybridMultilevel"/>
    <w:tmpl w:val="492CB1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233FA">
      <w:numFmt w:val="bullet"/>
      <w:lvlText w:val="•"/>
      <w:lvlJc w:val="left"/>
      <w:pPr>
        <w:ind w:left="1440" w:hanging="360"/>
      </w:pPr>
      <w:rPr>
        <w:rFonts w:ascii="Calibri" w:eastAsiaTheme="minorHAnsi" w:hAnsi="Calibri" w:cs="Times New Roman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654"/>
    <w:rsid w:val="00012981"/>
    <w:rsid w:val="000D4A39"/>
    <w:rsid w:val="001233ED"/>
    <w:rsid w:val="001632A4"/>
    <w:rsid w:val="00220AED"/>
    <w:rsid w:val="0024138A"/>
    <w:rsid w:val="002C1654"/>
    <w:rsid w:val="002E3610"/>
    <w:rsid w:val="00355BFA"/>
    <w:rsid w:val="003E1CDA"/>
    <w:rsid w:val="00431B5F"/>
    <w:rsid w:val="0057228F"/>
    <w:rsid w:val="0058134B"/>
    <w:rsid w:val="005B1D95"/>
    <w:rsid w:val="005D597B"/>
    <w:rsid w:val="00717F0D"/>
    <w:rsid w:val="00831593"/>
    <w:rsid w:val="00A0086C"/>
    <w:rsid w:val="00AA60B5"/>
    <w:rsid w:val="00B212CD"/>
    <w:rsid w:val="00B933B2"/>
    <w:rsid w:val="00BE1050"/>
    <w:rsid w:val="00C52194"/>
    <w:rsid w:val="00C779D6"/>
    <w:rsid w:val="00C97690"/>
    <w:rsid w:val="00CF7982"/>
    <w:rsid w:val="00DA4D4E"/>
    <w:rsid w:val="00ED36D4"/>
    <w:rsid w:val="00F47D70"/>
    <w:rsid w:val="00FA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E6AB3-EB93-47B5-8BA1-F7329843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654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2C16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8AD80-1346-402C-97BC-04052360A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AJ De Waal</dc:creator>
  <cp:keywords/>
  <dc:description/>
  <cp:lastModifiedBy>Microsoft account</cp:lastModifiedBy>
  <cp:revision>4</cp:revision>
  <dcterms:created xsi:type="dcterms:W3CDTF">2018-07-18T15:31:00Z</dcterms:created>
  <dcterms:modified xsi:type="dcterms:W3CDTF">2018-07-23T15:08:00Z</dcterms:modified>
</cp:coreProperties>
</file>