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6172B">
      <w:pPr>
        <w:ind w:firstLine="0" w:firstLineChars="0"/>
        <w:jc w:val="center"/>
        <w:rPr>
          <w:rStyle w:val="133"/>
          <w:rFonts w:hint="eastAsia" w:ascii="Segoe UI" w:hAnsi="Segoe UI" w:cs="Segoe UI"/>
          <w:color w:val="0F1115"/>
          <w:sz w:val="52"/>
          <w:szCs w:val="52"/>
          <w:shd w:val="clear" w:color="auto" w:fill="FFFFFF"/>
          <w:lang w:val="en-US" w:eastAsia="zh-CN"/>
        </w:rPr>
      </w:pPr>
      <w:r>
        <w:rPr>
          <w:rStyle w:val="133"/>
          <w:rFonts w:hint="eastAsia" w:ascii="Segoe UI" w:hAnsi="Segoe UI" w:cs="Segoe UI"/>
          <w:color w:val="0F1115"/>
          <w:sz w:val="52"/>
          <w:szCs w:val="52"/>
          <w:shd w:val="clear" w:color="auto" w:fill="FFFFFF"/>
          <w:lang w:val="en-US" w:eastAsia="zh-CN"/>
        </w:rPr>
        <w:t>制丝二设备领用管理系统</w:t>
      </w:r>
    </w:p>
    <w:p w14:paraId="147E3C20">
      <w:pPr>
        <w:ind w:firstLine="0" w:firstLineChars="0"/>
        <w:jc w:val="center"/>
        <w:rPr>
          <w:rStyle w:val="133"/>
          <w:rFonts w:ascii="Segoe UI" w:hAnsi="Segoe UI" w:cs="Segoe UI"/>
          <w:color w:val="0F1115"/>
          <w:sz w:val="52"/>
          <w:szCs w:val="52"/>
          <w:shd w:val="clear" w:color="auto" w:fill="FFFFFF"/>
        </w:rPr>
      </w:pPr>
      <w:r>
        <w:rPr>
          <w:rStyle w:val="133"/>
          <w:rFonts w:ascii="Segoe UI" w:hAnsi="Segoe UI" w:cs="Segoe UI"/>
          <w:color w:val="0F1115"/>
          <w:sz w:val="52"/>
          <w:szCs w:val="52"/>
          <w:shd w:val="clear" w:color="auto" w:fill="FFFFFF"/>
        </w:rPr>
        <w:t>项目进度汇报</w:t>
      </w:r>
    </w:p>
    <w:p w14:paraId="009BF073">
      <w:pPr>
        <w:ind w:firstLine="600"/>
        <w:jc w:val="center"/>
        <w:rPr>
          <w:rFonts w:hint="eastAsia" w:eastAsia="仿宋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项目负责人：</w:t>
      </w:r>
      <w:r>
        <w:rPr>
          <w:rFonts w:hint="eastAsia"/>
          <w:b/>
          <w:sz w:val="30"/>
          <w:szCs w:val="30"/>
          <w:lang w:val="en-US" w:eastAsia="zh-CN"/>
        </w:rPr>
        <w:t>胡浩、付文博</w:t>
      </w:r>
    </w:p>
    <w:p w14:paraId="066B5EEF">
      <w:pPr>
        <w:ind w:firstLine="600"/>
        <w:jc w:val="center"/>
        <w:rPr>
          <w:rStyle w:val="133"/>
          <w:bCs w:val="0"/>
          <w:sz w:val="30"/>
          <w:szCs w:val="30"/>
        </w:rPr>
      </w:pPr>
      <w:r>
        <w:rPr>
          <w:rFonts w:hint="eastAsia"/>
          <w:b/>
          <w:sz w:val="30"/>
          <w:szCs w:val="30"/>
        </w:rPr>
        <w:t>汇报撰写：付文博</w:t>
      </w:r>
    </w:p>
    <w:p w14:paraId="6C42B3C2">
      <w:pPr>
        <w:ind w:firstLine="60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日期：</w:t>
      </w:r>
      <w:r>
        <w:rPr>
          <w:b/>
          <w:sz w:val="30"/>
          <w:szCs w:val="30"/>
        </w:rPr>
        <w:t>2026年</w:t>
      </w:r>
      <w:r>
        <w:rPr>
          <w:rFonts w:hint="eastAsia"/>
          <w:b/>
          <w:sz w:val="30"/>
          <w:szCs w:val="30"/>
          <w:lang w:val="en-US" w:eastAsia="zh-CN"/>
        </w:rPr>
        <w:t>4</w:t>
      </w:r>
      <w:r>
        <w:rPr>
          <w:b/>
          <w:sz w:val="30"/>
          <w:szCs w:val="30"/>
        </w:rPr>
        <w:t>月</w:t>
      </w:r>
      <w:r>
        <w:rPr>
          <w:rFonts w:hint="eastAsia"/>
          <w:b/>
          <w:sz w:val="30"/>
          <w:szCs w:val="30"/>
          <w:lang w:val="en-US" w:eastAsia="zh-CN"/>
        </w:rPr>
        <w:t>15</w:t>
      </w:r>
      <w:r>
        <w:rPr>
          <w:b/>
          <w:sz w:val="30"/>
          <w:szCs w:val="30"/>
        </w:rPr>
        <w:t>日</w:t>
      </w:r>
    </w:p>
    <w:p w14:paraId="005764B1">
      <w:pPr>
        <w:ind w:firstLine="600"/>
        <w:jc w:val="center"/>
        <w:rPr>
          <w:b/>
          <w:sz w:val="30"/>
          <w:szCs w:val="30"/>
        </w:rPr>
      </w:pPr>
      <w:r>
        <w:rPr>
          <w:rFonts w:hint="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-454025</wp:posOffset>
                </wp:positionH>
                <wp:positionV relativeFrom="paragraph">
                  <wp:posOffset>113665</wp:posOffset>
                </wp:positionV>
                <wp:extent cx="6632575" cy="20955"/>
                <wp:effectExtent l="0" t="4445" r="6350" b="127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2575" cy="20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5.75pt;margin-top:8.95pt;height:1.65pt;width:522.25pt;mso-position-horizontal-relative:margin;z-index:251659264;mso-width-relative:page;mso-height-relative:page;" filled="f" stroked="t" coordsize="21600,21600" o:gfxdata="UEsDBAoAAAAAAIdO4kAAAAAAAAAAAAAAAAAEAAAAZHJzL1BLAwQUAAAACACHTuJAvUMMWdcAAAAJ&#10;AQAADwAAAGRycy9kb3ducmV2LnhtbE2Py07DMBBF90j8gzVIbKrWSSoIDXG6ALJjQwGxncZDEhGP&#10;09h9wNczrMpydI/unFuuT25QB5pC79lAukhAETfe9twaeHut53egQkS2OHgmA98UYF1dXpRYWH/k&#10;FzpsYqukhEOBBroYx0Lr0HTkMCz8SCzZp58cRjmnVtsJj1LuBp0lya122LN86HCkh46ar83eGQj1&#10;O+3qn1kzSz6Wrads9/j8hMZcX6XJPahIp3iG4U9f1KESp63fsw1qMDDP0xtBJchXoARY5UsZtzWQ&#10;pRnoqtT/F1S/UEsDBBQAAAAIAIdO4kBorUV78wEAANcDAAAOAAAAZHJzL2Uyb0RvYy54bWytU82O&#10;0zAQviPxDpbvNGlRCo2a7mGr5cJPJeABpo6TWHJsy+Nt2pfgBZC4wYkjd95ml8dg7GS7sFz2QA7O&#10;+PPM5/m+TNYXx16zg/SorKn4fJZzJo2wtTJtxT9+uHr2kjMMYGrQ1siKnyTyi83TJ+vBlXJhO6tr&#10;6RmRGCwHV/EuBFdmGYpO9oAz66Shw8b6HgJtfZvVHgZi73W2yPNlNlhfO2+FRCR0Ox7yidE/htA2&#10;jRJya8V1L00YWb3UEEgSdsoh36Rum0aK8K5pUAamK05KQ1rpEor3cc02ayhbD65TYmoBHtPCA009&#10;KEOXnqm2EIBde/UPVa+Et2ibMBO2z0YhyRFSMc8fePO+AyeTFrIa3dl0/H+04u1h55mqaRI4M9DT&#10;B7/9/OPm09dfP7/Qevv9G5tHkwaHJeVemp2fduh2Pio+Nr6Pb9LCjsnY09lYeQxMELhcPl8ULwrO&#10;BJ0t8lVRRM7svth5DK+k7VkMKq6VibqhhMNrDGPqXUqEjb1SWhMOpTZsqPiqWER2oHlsaA4o7B1p&#10;QtNyBrqlQRfBJ0a0WtWxOhajb/eX2rMDxPFIz5jUQS1HdFUQPI4JQnhj6xGe53c4qZhokqK/+GPP&#10;W8BurElHk3BtKDuaOtoYo72tT8ndhNP3TnzTbMaB+nOfqu//x81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UMMWdcAAAAJAQAADwAAAAAAAAABACAAAAAiAAAAZHJzL2Rvd25yZXYueG1sUEsBAhQA&#10;FAAAAAgAh07iQGitRXvzAQAA1wMAAA4AAAAAAAAAAQAgAAAAJgEAAGRycy9lMm9Eb2MueG1sUEsF&#10;BgAAAAAGAAYAWQEAAIs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411F3B0D">
      <w:pPr>
        <w:pStyle w:val="4"/>
        <w:spacing w:before="240" w:after="120" w:line="360" w:lineRule="auto"/>
      </w:pPr>
      <w:r>
        <w:rPr>
          <w:rFonts w:ascii="黑体" w:hAnsi="黑体" w:eastAsia="黑体"/>
          <w:b/>
          <w:sz w:val="30"/>
        </w:rPr>
        <w:t>一、项目概述</w:t>
      </w:r>
    </w:p>
    <w:p w14:paraId="600746AB">
      <w:pPr>
        <w:spacing w:before="0" w:after="0" w:line="360" w:lineRule="auto"/>
        <w:ind w:firstLine="480"/>
      </w:pPr>
      <w:r>
        <w:rPr>
          <w:rFonts w:ascii="仿宋" w:hAnsi="仿宋" w:eastAsia="仿宋"/>
          <w:sz w:val="24"/>
        </w:rPr>
        <w:t>本项目面向</w:t>
      </w:r>
      <w:r>
        <w:rPr>
          <w:rFonts w:hint="eastAsia"/>
          <w:sz w:val="24"/>
          <w:lang w:val="en-US" w:eastAsia="zh-CN"/>
        </w:rPr>
        <w:t>车间设备领用管理</w:t>
      </w:r>
      <w:r>
        <w:rPr>
          <w:rFonts w:ascii="仿宋" w:hAnsi="仿宋" w:eastAsia="仿宋"/>
          <w:sz w:val="24"/>
        </w:rPr>
        <w:t>，建设“电气 + 机械”双模块一体化</w:t>
      </w:r>
      <w:r>
        <w:rPr>
          <w:rFonts w:hint="eastAsia"/>
          <w:sz w:val="24"/>
          <w:lang w:val="en-US" w:eastAsia="zh-CN"/>
        </w:rPr>
        <w:t>设备领用</w:t>
      </w:r>
      <w:r>
        <w:rPr>
          <w:rFonts w:ascii="仿宋" w:hAnsi="仿宋" w:eastAsia="仿宋"/>
          <w:sz w:val="24"/>
        </w:rPr>
        <w:t>管理平台，覆盖登录认证、</w:t>
      </w:r>
      <w:r>
        <w:rPr>
          <w:rFonts w:hint="eastAsia"/>
          <w:sz w:val="24"/>
          <w:lang w:val="en-US" w:eastAsia="zh-CN"/>
        </w:rPr>
        <w:t>设备</w:t>
      </w:r>
      <w:r>
        <w:rPr>
          <w:rFonts w:ascii="仿宋" w:hAnsi="仿宋" w:eastAsia="仿宋"/>
          <w:sz w:val="24"/>
        </w:rPr>
        <w:t>台账、库存记录、领用归还、操作审计、报表统计、用户权限等核心业务。系统已完成工厂环境部署，支持在二级目录路径下通过企业内网/新媒体代理访问。</w:t>
      </w:r>
    </w:p>
    <w:p w14:paraId="3246B832">
      <w:pPr>
        <w:spacing w:before="0" w:after="0" w:line="360" w:lineRule="auto"/>
        <w:ind w:firstLine="480"/>
      </w:pPr>
      <w:r>
        <w:rPr>
          <w:rFonts w:ascii="仿宋" w:hAnsi="仿宋" w:eastAsia="仿宋"/>
          <w:sz w:val="24"/>
        </w:rPr>
        <w:t>当前部署访问路径为：</w:t>
      </w:r>
    </w:p>
    <w:p w14:paraId="5ABD42CF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外网代理：`https://yxcf-yzyy.ynzy-tobacco.com/zs2sbgl/`</w:t>
      </w:r>
    </w:p>
    <w:p w14:paraId="7ADE353C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内网直连：`http://172.24.69.125:8080/zs2sbgl/`</w:t>
      </w:r>
    </w:p>
    <w:p w14:paraId="01522D44">
      <w:pPr>
        <w:pStyle w:val="4"/>
        <w:spacing w:before="240" w:after="120" w:line="360" w:lineRule="auto"/>
      </w:pPr>
      <w:r>
        <w:rPr>
          <w:rFonts w:ascii="黑体" w:hAnsi="黑体" w:eastAsia="黑体"/>
          <w:b/>
          <w:sz w:val="30"/>
        </w:rPr>
        <w:t>二、建设目标与实施范围</w:t>
      </w:r>
    </w:p>
    <w:p w14:paraId="172023E8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2.1 建设目标</w:t>
      </w:r>
    </w:p>
    <w:p w14:paraId="05EA0D09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建立统一、可追溯的</w:t>
      </w:r>
      <w:r>
        <w:rPr>
          <w:rFonts w:hint="eastAsia"/>
          <w:sz w:val="24"/>
          <w:lang w:eastAsia="zh-CN"/>
        </w:rPr>
        <w:t>设备</w:t>
      </w:r>
      <w:r>
        <w:rPr>
          <w:rFonts w:ascii="仿宋" w:hAnsi="仿宋" w:eastAsia="仿宋"/>
          <w:sz w:val="24"/>
        </w:rPr>
        <w:t>数据台账，减少手工管理成本。</w:t>
      </w:r>
    </w:p>
    <w:p w14:paraId="7971C46D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打通“入库-领用-归还-库存变化-统计分析”的业务闭环。</w:t>
      </w:r>
    </w:p>
    <w:p w14:paraId="1A9911AE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通过模块化权限体系实现电气、机械分域管理，降低越权与误操作风险。</w:t>
      </w:r>
    </w:p>
    <w:p w14:paraId="714271FF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在工厂受限网络环境下，提供可离线更新、可持续迭代的部署方案。</w:t>
      </w:r>
    </w:p>
    <w:p w14:paraId="31DC3876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2.2 实施范围</w:t>
      </w:r>
    </w:p>
    <w:p w14:paraId="116C8557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业务模块：电气</w:t>
      </w:r>
      <w:r>
        <w:rPr>
          <w:rFonts w:hint="eastAsia"/>
          <w:sz w:val="24"/>
          <w:lang w:val="en-US" w:eastAsia="zh-CN"/>
        </w:rPr>
        <w:t>设备</w:t>
      </w:r>
      <w:r>
        <w:rPr>
          <w:rFonts w:ascii="仿宋" w:hAnsi="仿宋" w:eastAsia="仿宋"/>
          <w:sz w:val="24"/>
        </w:rPr>
        <w:t>、机械</w:t>
      </w:r>
      <w:r>
        <w:rPr>
          <w:rFonts w:hint="eastAsia"/>
          <w:sz w:val="24"/>
          <w:lang w:val="en-US" w:eastAsia="zh-CN"/>
        </w:rPr>
        <w:t>设备</w:t>
      </w:r>
      <w:r>
        <w:rPr>
          <w:rFonts w:ascii="仿宋" w:hAnsi="仿宋" w:eastAsia="仿宋"/>
          <w:sz w:val="24"/>
        </w:rPr>
        <w:t>、领用归还、库存管理、操作日志、统计报表。</w:t>
      </w:r>
    </w:p>
    <w:p w14:paraId="64A04E07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平台能力：账号体系、角色权限、企业微信登录、SSO 单点登录。</w:t>
      </w:r>
    </w:p>
    <w:p w14:paraId="57511CA8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运行环境：Docker Compose 编排，Nginx 代理，MySQL + Redis + MinIO。</w:t>
      </w:r>
    </w:p>
    <w:p w14:paraId="017D78C4">
      <w:pPr>
        <w:pStyle w:val="4"/>
        <w:spacing w:before="240" w:after="120" w:line="360" w:lineRule="auto"/>
      </w:pPr>
      <w:r>
        <w:rPr>
          <w:rFonts w:ascii="黑体" w:hAnsi="黑体" w:eastAsia="黑体"/>
          <w:b/>
          <w:sz w:val="30"/>
        </w:rPr>
        <w:t>三、系统技术架构</w:t>
      </w:r>
    </w:p>
    <w:p w14:paraId="48735692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3.1 前端架构</w:t>
      </w:r>
    </w:p>
    <w:p w14:paraId="06DC78D2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技术栈：Vue 3 + TypeScript + Vite + Pinia + Vue Router + Element Plus + ECharts。</w:t>
      </w:r>
    </w:p>
    <w:p w14:paraId="5F605835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核心路由：</w:t>
      </w:r>
    </w:p>
    <w:p w14:paraId="488CDA3B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电气：`/electrical/*`</w:t>
      </w:r>
    </w:p>
    <w:p w14:paraId="04751F6F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机械：`/mechanical/*`</w:t>
      </w:r>
    </w:p>
    <w:p w14:paraId="646BB4F7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登录与认证：`/login`、`/sso/callback`、`/wechat-login`</w:t>
      </w:r>
    </w:p>
    <w:p w14:paraId="52C7F2B6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核心页面：</w:t>
      </w:r>
    </w:p>
    <w:p w14:paraId="4E16424B">
      <w:pPr>
        <w:pStyle w:val="23"/>
        <w:spacing w:before="0" w:after="40" w:line="360" w:lineRule="auto"/>
      </w:pPr>
      <w:r>
        <w:rPr>
          <w:rFonts w:hint="eastAsia"/>
          <w:sz w:val="24"/>
          <w:lang w:eastAsia="zh-CN"/>
        </w:rPr>
        <w:t>设备</w:t>
      </w:r>
      <w:r>
        <w:rPr>
          <w:rFonts w:ascii="仿宋" w:hAnsi="仿宋" w:eastAsia="仿宋"/>
          <w:sz w:val="24"/>
        </w:rPr>
        <w:t>列表：`SparePartList`、`MechanicalSparePartList`</w:t>
      </w:r>
    </w:p>
    <w:p w14:paraId="7B00CA96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领用页面：`SparePartRequisition`、`MechanicalSparePartRequisition`</w:t>
      </w:r>
    </w:p>
    <w:p w14:paraId="28F2F338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库存管理：`InventoryView`</w:t>
      </w:r>
    </w:p>
    <w:p w14:paraId="34E72323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报表统计：`ReportsView`</w:t>
      </w:r>
    </w:p>
    <w:p w14:paraId="2A26241F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用户管理：`UserManage`</w:t>
      </w:r>
    </w:p>
    <w:p w14:paraId="055A9D3B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操作记录：`OperationLogView`</w:t>
      </w:r>
    </w:p>
    <w:p w14:paraId="304DF7E4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3.2 后端架构</w:t>
      </w:r>
    </w:p>
    <w:p w14:paraId="562D8353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技术栈：FastAPI + SQLAlchemy + Pydantic + Uvicorn。</w:t>
      </w:r>
    </w:p>
    <w:p w14:paraId="50747EAF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核心接口模块：</w:t>
      </w:r>
    </w:p>
    <w:p w14:paraId="339DC636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`spare_parts`（电气）</w:t>
      </w:r>
    </w:p>
    <w:p w14:paraId="53C553F3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`mechanical_spare_parts`（机械）</w:t>
      </w:r>
    </w:p>
    <w:p w14:paraId="4980E8D8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`inventory`（库存）</w:t>
      </w:r>
    </w:p>
    <w:p w14:paraId="1B60C5C3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`operation_logs`（操作记录）</w:t>
      </w:r>
    </w:p>
    <w:p w14:paraId="0B841DA8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`users`（用户）</w:t>
      </w:r>
    </w:p>
    <w:p w14:paraId="34739540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`auth` / `sso` / `wechat`（认证）</w:t>
      </w:r>
    </w:p>
    <w:p w14:paraId="3E05BAFE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`reports`（统计）</w:t>
      </w:r>
    </w:p>
    <w:p w14:paraId="62774974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核心数据模型：</w:t>
      </w:r>
    </w:p>
    <w:p w14:paraId="6C410755">
      <w:pPr>
        <w:pStyle w:val="23"/>
        <w:spacing w:before="0" w:after="40" w:line="360" w:lineRule="auto"/>
      </w:pPr>
      <w:r>
        <w:rPr>
          <w:rFonts w:hint="eastAsia"/>
          <w:sz w:val="24"/>
          <w:lang w:eastAsia="zh-CN"/>
        </w:rPr>
        <w:t>设备</w:t>
      </w:r>
      <w:r>
        <w:rPr>
          <w:rFonts w:ascii="仿宋" w:hAnsi="仿宋" w:eastAsia="仿宋"/>
          <w:sz w:val="24"/>
        </w:rPr>
        <w:t>主数据（电气/机械）</w:t>
      </w:r>
    </w:p>
    <w:p w14:paraId="1F6340EB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领用与归还日志</w:t>
      </w:r>
    </w:p>
    <w:p w14:paraId="61C3CBFC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入库与管理出库日志</w:t>
      </w:r>
    </w:p>
    <w:p w14:paraId="59FA7857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通用操作日志（审计）</w:t>
      </w:r>
    </w:p>
    <w:p w14:paraId="0D16F55E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用户与权限模型（含 scopes 与扩展权限字段）</w:t>
      </w:r>
    </w:p>
    <w:p w14:paraId="3D48DE0C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3.3 部署架构</w:t>
      </w:r>
    </w:p>
    <w:p w14:paraId="40ABFE39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容器服务：`fastapi`、`mysql`、`redis`、`minio`、`nginx`、`frontend-dev`、`django-admin`。</w:t>
      </w:r>
    </w:p>
    <w:p w14:paraId="4CD506F7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部署特点：</w:t>
      </w:r>
    </w:p>
    <w:p w14:paraId="731DCD8C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支持 `frontend/dist` 静态发布（工厂无外网场景）。</w:t>
      </w:r>
    </w:p>
    <w:p w14:paraId="5A25E640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支持 `/zs2sbgl/` 二级目录路径。</w:t>
      </w:r>
    </w:p>
    <w:p w14:paraId="78BF564D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支持 WebSocket 转发用于多端数据刷新。</w:t>
      </w:r>
    </w:p>
    <w:p w14:paraId="1C0FC855">
      <w:pPr>
        <w:pStyle w:val="4"/>
        <w:spacing w:before="240" w:after="120" w:line="360" w:lineRule="auto"/>
      </w:pPr>
      <w:r>
        <w:rPr>
          <w:rFonts w:ascii="黑体" w:hAnsi="黑体" w:eastAsia="黑体"/>
          <w:b/>
          <w:sz w:val="30"/>
        </w:rPr>
        <w:t>四、阶段性建设进展</w:t>
      </w:r>
    </w:p>
    <w:p w14:paraId="0AA4F229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阶段 1：基础平台与单模块闭环（已完成）</w:t>
      </w:r>
    </w:p>
    <w:p w14:paraId="0F6F1B09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完成账号登录、用户注册、基础权限控制。</w:t>
      </w:r>
    </w:p>
    <w:p w14:paraId="21B0E614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完成电气</w:t>
      </w:r>
      <w:r>
        <w:rPr>
          <w:rFonts w:hint="eastAsia"/>
          <w:sz w:val="24"/>
          <w:lang w:eastAsia="zh-CN"/>
        </w:rPr>
        <w:t>设备</w:t>
      </w:r>
      <w:r>
        <w:rPr>
          <w:rFonts w:ascii="仿宋" w:hAnsi="仿宋" w:eastAsia="仿宋"/>
          <w:sz w:val="24"/>
        </w:rPr>
        <w:t>主数据管理（增删改查、图片、批量导入/导出）。</w:t>
      </w:r>
    </w:p>
    <w:p w14:paraId="670684FC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完成电气领用、归还、库存变化记录，形成业务闭环。</w:t>
      </w:r>
    </w:p>
    <w:p w14:paraId="6778F9E1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完成库存记录与操作日志查询页面。</w:t>
      </w:r>
    </w:p>
    <w:p w14:paraId="3DE7A161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阶段 2：机械模块并行扩展（已完成）</w:t>
      </w:r>
    </w:p>
    <w:p w14:paraId="2515AF33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新增机械</w:t>
      </w:r>
      <w:r>
        <w:rPr>
          <w:rFonts w:hint="eastAsia"/>
          <w:sz w:val="24"/>
          <w:lang w:eastAsia="zh-CN"/>
        </w:rPr>
        <w:t>设备</w:t>
      </w:r>
      <w:r>
        <w:rPr>
          <w:rFonts w:ascii="仿宋" w:hAnsi="仿宋" w:eastAsia="仿宋"/>
          <w:sz w:val="24"/>
        </w:rPr>
        <w:t>全流程（列表、领用、归还、库存、报表）。</w:t>
      </w:r>
    </w:p>
    <w:p w14:paraId="6C8F49A1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实现电气与机械模块化路由和菜单隔离。</w:t>
      </w:r>
    </w:p>
    <w:p w14:paraId="255F0855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完成双模块统一用户体系与角色权限复用。</w:t>
      </w:r>
    </w:p>
    <w:p w14:paraId="4FEFFD49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阶段 3：权限架构与认证增强（已完成）</w:t>
      </w:r>
    </w:p>
    <w:p w14:paraId="360898A4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完成模块级权限能力扩展（管理员/领用员/只读等分级）。</w:t>
      </w:r>
    </w:p>
    <w:p w14:paraId="06D73471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支持企业微信登录与 SSO 单点登录。</w:t>
      </w:r>
    </w:p>
    <w:p w14:paraId="6FDED85D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用户模型新增扩展字段（如 `permissions`、`sso_user_id` 等），支持后续权限细化。</w:t>
      </w:r>
    </w:p>
    <w:p w14:paraId="495EFA5F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阶段 4：工厂部署与代理适配（已完成）</w:t>
      </w:r>
    </w:p>
    <w:p w14:paraId="2FA89A5E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完成工厂新媒体代理适配（`/zs2sbgl/`）。</w:t>
      </w:r>
    </w:p>
    <w:p w14:paraId="3B2779F5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Nginx 完成静态优先与开发回退双模式支持。</w:t>
      </w:r>
    </w:p>
    <w:p w14:paraId="0F033DD4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支持工厂无外网离线发版流程（前端离线构建 + 定向文件覆盖）。</w:t>
      </w:r>
    </w:p>
    <w:p w14:paraId="07B34E08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阶段 5：稳定性与体验优化（持续进行）</w:t>
      </w:r>
    </w:p>
    <w:p w14:paraId="6DEE5F3D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对领用接口异常场景增强排查信息（请求标识、日志定位）。</w:t>
      </w:r>
    </w:p>
    <w:p w14:paraId="5A1D00FA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完成领用筛选链路修复（存放地参数从前端到后端全链路打通）。</w:t>
      </w:r>
    </w:p>
    <w:p w14:paraId="4FF3D5C9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优化移动端消息提示停留策略，避免操作按钮被长时间遮挡。</w:t>
      </w:r>
    </w:p>
    <w:p w14:paraId="4C5AC1B2">
      <w:pPr>
        <w:pStyle w:val="4"/>
        <w:spacing w:before="240" w:after="120" w:line="360" w:lineRule="auto"/>
      </w:pPr>
      <w:r>
        <w:rPr>
          <w:rFonts w:ascii="黑体" w:hAnsi="黑体" w:eastAsia="黑体"/>
          <w:b/>
          <w:sz w:val="30"/>
        </w:rPr>
        <w:t>五、当前版本能力清单（上线可用）</w:t>
      </w:r>
    </w:p>
    <w:p w14:paraId="354F54A3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登录认证：账号密码登录、Token 登录、企业微信与 SSO 登录。</w:t>
      </w:r>
    </w:p>
    <w:p w14:paraId="4097FD33">
      <w:pPr>
        <w:pStyle w:val="16"/>
        <w:spacing w:before="0" w:after="40" w:line="360" w:lineRule="auto"/>
      </w:pPr>
      <w:r>
        <w:rPr>
          <w:rFonts w:hint="eastAsia"/>
          <w:sz w:val="24"/>
          <w:lang w:eastAsia="zh-CN"/>
        </w:rPr>
        <w:t>设备</w:t>
      </w:r>
      <w:r>
        <w:rPr>
          <w:rFonts w:ascii="仿宋" w:hAnsi="仿宋" w:eastAsia="仿宋"/>
          <w:sz w:val="24"/>
        </w:rPr>
        <w:t>管理：电气与机械双模块、图片管理、批量导入导出。</w:t>
      </w:r>
    </w:p>
    <w:p w14:paraId="27094412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领用归还：支持领用原因、使用地点、归还余量控制与日志追踪。</w:t>
      </w:r>
    </w:p>
    <w:p w14:paraId="32072DB5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库存管理：可按时间与事件类型追溯库存变动。</w:t>
      </w:r>
    </w:p>
    <w:p w14:paraId="3E124B3E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统计报表：按品牌、适用机型等维度进行统计展示。</w:t>
      </w:r>
    </w:p>
    <w:p w14:paraId="1206D098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用户管理：用户创建、审批、角色分配、模块权限配置。</w:t>
      </w:r>
    </w:p>
    <w:p w14:paraId="33597BDA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审计追踪：操作日志与业务日志并行保留，支持问题回溯。</w:t>
      </w:r>
    </w:p>
    <w:p w14:paraId="6C42EE6A">
      <w:pPr>
        <w:pStyle w:val="4"/>
        <w:spacing w:before="240" w:after="120" w:line="360" w:lineRule="auto"/>
      </w:pPr>
      <w:r>
        <w:rPr>
          <w:rFonts w:ascii="黑体" w:hAnsi="黑体" w:eastAsia="黑体"/>
          <w:b/>
          <w:sz w:val="30"/>
        </w:rPr>
        <w:t>六、近期关键优化</w:t>
      </w:r>
    </w:p>
    <w:p w14:paraId="0BC3BABD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6.1 领用页面筛选优化</w:t>
      </w:r>
    </w:p>
    <w:p w14:paraId="1DC6DCEA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问题：两个领用页面“存放地筛选”前端有下拉，但后端领用查询接口未完整接收/传递该参数。</w:t>
      </w:r>
    </w:p>
    <w:p w14:paraId="394898A7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处理：已在电气与机械领用查询链路补齐 `storage_location` 参数传递。</w:t>
      </w:r>
    </w:p>
    <w:p w14:paraId="2A1CD223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结果：点击“存放地”筛选后可正确返回过滤数据。</w:t>
      </w:r>
    </w:p>
    <w:p w14:paraId="540F20B8">
      <w:pPr>
        <w:pStyle w:val="5"/>
        <w:spacing w:before="240" w:after="120" w:line="360" w:lineRule="auto"/>
      </w:pPr>
      <w:r>
        <w:rPr>
          <w:rFonts w:ascii="黑体" w:hAnsi="黑体" w:eastAsia="黑体"/>
          <w:b/>
          <w:sz w:val="28"/>
        </w:rPr>
        <w:t>6.2 移动端消息提示优化</w:t>
      </w:r>
    </w:p>
    <w:p w14:paraId="7A30C28C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问题：登录成功提示在移动端页面停留过长，遮挡关键按钮。</w:t>
      </w:r>
    </w:p>
    <w:p w14:paraId="07EE2D27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处理：</w:t>
      </w:r>
    </w:p>
    <w:p w14:paraId="33B77BA8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登录成功消息显示时机调整为“路由跳转前”。</w:t>
      </w:r>
    </w:p>
    <w:p w14:paraId="1982F9F0">
      <w:pPr>
        <w:pStyle w:val="23"/>
        <w:spacing w:before="0" w:after="40" w:line="360" w:lineRule="auto"/>
      </w:pPr>
      <w:r>
        <w:rPr>
          <w:rFonts w:ascii="仿宋" w:hAnsi="仿宋" w:eastAsia="仿宋"/>
          <w:sz w:val="24"/>
        </w:rPr>
        <w:t>全局消息时长下调（移动端进一步缩短）。</w:t>
      </w:r>
    </w:p>
    <w:p w14:paraId="47F401BD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结果：提示短停留后自动消失，按钮可及时点击，交互连续性提升。</w:t>
      </w:r>
    </w:p>
    <w:p w14:paraId="6664CC9E">
      <w:pPr>
        <w:pStyle w:val="4"/>
        <w:spacing w:before="240" w:after="120" w:line="360" w:lineRule="auto"/>
      </w:pPr>
      <w:r>
        <w:rPr>
          <w:rFonts w:hint="eastAsia" w:ascii="黑体" w:hAnsi="黑体" w:eastAsia="黑体"/>
          <w:b/>
          <w:sz w:val="30"/>
          <w:lang w:val="en-US" w:eastAsia="zh-CN"/>
        </w:rPr>
        <w:t>七</w:t>
      </w:r>
      <w:r>
        <w:rPr>
          <w:rFonts w:ascii="黑体" w:hAnsi="黑体" w:eastAsia="黑体"/>
          <w:b/>
          <w:sz w:val="30"/>
        </w:rPr>
        <w:t>、安全体系建设与当前状态</w:t>
      </w:r>
    </w:p>
    <w:p w14:paraId="46A5598E">
      <w:pPr>
        <w:pStyle w:val="5"/>
        <w:spacing w:before="240" w:after="120" w:line="360" w:lineRule="auto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.1 身份认证与账号安全</w:t>
      </w:r>
    </w:p>
    <w:p w14:paraId="43BF99AB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系统支持账号密码登录、Token 登录、企业微信登录、SSO 单点登录，降低单一登录方式失效风险。</w:t>
      </w:r>
    </w:p>
    <w:p w14:paraId="06974E8C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后端通过统一认证接口与依赖注入校验当前用户身份，未授权请求直接拒绝访问。</w:t>
      </w:r>
    </w:p>
    <w:p w14:paraId="05B966F8">
      <w:pPr>
        <w:pStyle w:val="16"/>
        <w:spacing w:before="0" w:after="40" w:line="360" w:lineRule="auto"/>
        <w:rPr/>
      </w:pPr>
      <w:r>
        <w:t>认证：JWT 签发与校验，密钥通过环境变量 `SECRET_KEY` 配置，生产必须使用强随机值。</w:t>
      </w:r>
    </w:p>
    <w:p w14:paraId="5FDB724F">
      <w:pPr>
        <w:pStyle w:val="16"/>
        <w:spacing w:before="0" w:after="40" w:line="360" w:lineRule="auto"/>
        <w:rPr/>
      </w:pPr>
      <w:r>
        <w:t>密码：bcrypt 哈希存储，不明文保存。</w:t>
      </w:r>
    </w:p>
    <w:p w14:paraId="31DEFFE0">
      <w:pPr>
        <w:pStyle w:val="16"/>
        <w:spacing w:before="0" w:after="40" w:line="360" w:lineRule="auto"/>
      </w:pPr>
      <w:r>
        <w:t>敏感配置：数据库连接串、MinIO 密钥、企业微信 Secret 等均通过环境变量注入，不写死在代码中。</w:t>
      </w:r>
    </w:p>
    <w:p w14:paraId="56007810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用户模型已扩展认证与权限相关字段（如 `token_version`、`permissions`、`sso_user_id`），为会话控制与后续安全策略预留能力。</w:t>
      </w:r>
    </w:p>
    <w:p w14:paraId="19D5A8DF">
      <w:pPr>
        <w:pStyle w:val="5"/>
        <w:spacing w:before="240" w:after="120" w:line="360" w:lineRule="auto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.2 权限隔离与最小权限控制</w:t>
      </w:r>
    </w:p>
    <w:p w14:paraId="6F859A32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已实现电气与机械双模块权限隔离，页面菜单、路由访问、接口调用按用户权限范围控制。</w:t>
      </w:r>
    </w:p>
    <w:p w14:paraId="7565778F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角色能力按管理员、领用员、只读等分级，避免“全员高权限”导致的误操作与越权风险。</w:t>
      </w:r>
    </w:p>
    <w:p w14:paraId="73A4FD3F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前端路由守卫与后端接口校验共同生效，防止仅通过前端隐藏造成的“可见性安全”问题。</w:t>
      </w:r>
    </w:p>
    <w:p w14:paraId="60C0018A">
      <w:pPr>
        <w:pStyle w:val="5"/>
        <w:spacing w:before="240" w:after="120" w:line="360" w:lineRule="auto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.3 数据审计与可追溯能力</w:t>
      </w:r>
    </w:p>
    <w:p w14:paraId="1EE59C13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关键业务动作（领用、归还、入库、管理出库、用户管理变更等）均有日志记录。</w:t>
      </w:r>
    </w:p>
    <w:p w14:paraId="0E31646E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建立“业务日志 + 操作日志”双轨审计机制，支持按时间、人员、事件类型回溯。</w:t>
      </w:r>
    </w:p>
    <w:p w14:paraId="6273CEC2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接口异常链路中已引入请求标识辅助定位，提高问题追踪与责任界定效率。</w:t>
      </w:r>
    </w:p>
    <w:p w14:paraId="718769D0">
      <w:pPr>
        <w:pStyle w:val="5"/>
        <w:spacing w:before="240" w:after="120" w:line="360" w:lineRule="auto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.4 接口与数据安全</w:t>
      </w:r>
    </w:p>
    <w:p w14:paraId="55FD3916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后端对关键入参进行类型与业务规则校验（如数量、范围、必填字段），减少非法数据进入核心链路。</w:t>
      </w:r>
    </w:p>
    <w:p w14:paraId="3AA67137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对库存类接口增加余额与约束判断，避免负库存、超额归还等异常业务写入。</w:t>
      </w:r>
    </w:p>
    <w:p w14:paraId="3D1FF286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生产环境可通过配置关闭调试模式，避免过度日志暴露内部实现细节。</w:t>
      </w:r>
    </w:p>
    <w:p w14:paraId="4D0DA53D">
      <w:pPr>
        <w:pStyle w:val="5"/>
        <w:spacing w:before="240" w:after="120" w:line="360" w:lineRule="auto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.5 部署与运维安全</w:t>
      </w:r>
    </w:p>
    <w:p w14:paraId="1F54B29C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工厂场景采用静态 `dist` + 容器化部署，减少生产环境临时构建与依赖漂移风险。</w:t>
      </w:r>
    </w:p>
    <w:p w14:paraId="0E2D98E0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通过二级目录代理、Nginx 转发规则与 WebSocket 配置统一管控外部访问入口。</w:t>
      </w:r>
    </w:p>
    <w:p w14:paraId="2440B0F4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离线更新流程支持“定向文件覆盖 + 备份回滚”，降低错误更新对生产系统的影响面。</w:t>
      </w:r>
    </w:p>
    <w:p w14:paraId="3EBC9A19">
      <w:pPr>
        <w:pStyle w:val="5"/>
        <w:spacing w:before="240" w:after="120" w:line="360" w:lineRule="auto"/>
      </w:pPr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.6 安全改进计划</w:t>
      </w:r>
    </w:p>
    <w:p w14:paraId="71DB91ED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增强高风险操作告警与异常行为监控（如短时高频失败登录、异常批量操作）。</w:t>
      </w:r>
    </w:p>
    <w:p w14:paraId="3926FD14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推进敏感配置分级管理与定期轮换（如密钥、客户端密钥、访问凭证）。</w:t>
      </w:r>
    </w:p>
    <w:p w14:paraId="2D027BFE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完善安全检查清单（部署前、发布后、月度巡检），形成制度化闭环。</w:t>
      </w:r>
    </w:p>
    <w:p w14:paraId="12B3CB52">
      <w:pPr>
        <w:pStyle w:val="4"/>
        <w:spacing w:before="240" w:after="120" w:line="360" w:lineRule="auto"/>
      </w:pPr>
      <w:r>
        <w:rPr>
          <w:rFonts w:ascii="黑体" w:hAnsi="黑体" w:eastAsia="黑体"/>
          <w:b/>
          <w:sz w:val="30"/>
        </w:rPr>
        <w:t>九、当前风险与改进计划</w:t>
      </w:r>
    </w:p>
    <w:p w14:paraId="59E00F25">
      <w:pPr>
        <w:pStyle w:val="5"/>
        <w:spacing w:before="240" w:after="120" w:line="360" w:lineRule="auto"/>
      </w:pPr>
      <w:r>
        <w:rPr>
          <w:rFonts w:hint="eastAsia" w:ascii="黑体" w:hAnsi="黑体" w:eastAsia="黑体"/>
          <w:b/>
          <w:sz w:val="28"/>
          <w:lang w:val="en-US" w:eastAsia="zh-CN"/>
        </w:rPr>
        <w:t>8</w:t>
      </w:r>
      <w:r>
        <w:rPr>
          <w:rFonts w:ascii="黑体" w:hAnsi="黑体" w:eastAsia="黑体"/>
          <w:b/>
          <w:sz w:val="28"/>
        </w:rPr>
        <w:t>.1 风险点</w:t>
      </w:r>
    </w:p>
    <w:p w14:paraId="777D4663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工厂环境网络与代理配置差异可能导致 WebSocket 或回调链路偶发异常。</w:t>
      </w:r>
    </w:p>
    <w:p w14:paraId="04F44CB5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早期数据库表结构在新增字段后需要持续兼容校验。</w:t>
      </w:r>
    </w:p>
    <w:p w14:paraId="604435D0">
      <w:pPr>
        <w:pStyle w:val="5"/>
        <w:spacing w:before="240" w:after="120" w:line="360" w:lineRule="auto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>8</w:t>
      </w:r>
      <w:r>
        <w:rPr>
          <w:rFonts w:ascii="黑体" w:hAnsi="黑体" w:eastAsia="黑体"/>
          <w:b/>
          <w:sz w:val="28"/>
        </w:rPr>
        <w:t>.2 下一阶段计划</w:t>
      </w:r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一个月内</w:t>
      </w:r>
      <w:r>
        <w:rPr>
          <w:rFonts w:hint="eastAsia" w:ascii="黑体" w:hAnsi="黑体" w:eastAsia="黑体"/>
          <w:b/>
          <w:sz w:val="28"/>
          <w:lang w:eastAsia="zh-CN"/>
        </w:rPr>
        <w:t>）</w:t>
      </w:r>
    </w:p>
    <w:p w14:paraId="22152673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继续完善异常监控与日志追踪能力，缩短故障定位时间。</w:t>
      </w:r>
    </w:p>
    <w:p w14:paraId="462148E5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优化移动端交互一致性（弹窗、消息、筛选操作路径）。</w:t>
      </w:r>
    </w:p>
    <w:p w14:paraId="318C597D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推进报表维度扩展与导出能力优化，提升管理决策支持能力。</w:t>
      </w:r>
    </w:p>
    <w:p w14:paraId="0A15C6B5">
      <w:pPr>
        <w:pStyle w:val="16"/>
        <w:spacing w:before="0" w:after="40" w:line="360" w:lineRule="auto"/>
      </w:pPr>
      <w:r>
        <w:rPr>
          <w:rFonts w:ascii="仿宋" w:hAnsi="仿宋" w:eastAsia="仿宋"/>
          <w:sz w:val="24"/>
        </w:rPr>
        <w:t>形成标准化离线发版模板与版本台账，降低工厂运维操作风险。</w:t>
      </w:r>
    </w:p>
    <w:p w14:paraId="515CCCC4">
      <w:pPr>
        <w:pStyle w:val="5"/>
        <w:spacing w:before="240" w:after="120" w:line="360" w:lineRule="auto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>8</w:t>
      </w:r>
      <w:r>
        <w:rPr>
          <w:rFonts w:ascii="黑体" w:hAnsi="黑体" w:eastAsia="黑体"/>
          <w:b/>
          <w:sz w:val="28"/>
        </w:rPr>
        <w:t>.</w:t>
      </w:r>
      <w:r>
        <w:rPr>
          <w:rFonts w:hint="eastAsia" w:ascii="黑体" w:hAnsi="黑体" w:eastAsia="黑体"/>
          <w:b/>
          <w:sz w:val="28"/>
          <w:lang w:val="en-US" w:eastAsia="zh-CN"/>
        </w:rPr>
        <w:t>3</w:t>
      </w:r>
      <w:r>
        <w:rPr>
          <w:rFonts w:ascii="黑体" w:hAnsi="黑体" w:eastAsia="黑体"/>
          <w:b/>
          <w:sz w:val="28"/>
        </w:rPr>
        <w:t xml:space="preserve"> </w:t>
      </w:r>
      <w:r>
        <w:rPr>
          <w:rFonts w:hint="eastAsia" w:ascii="黑体" w:hAnsi="黑体" w:eastAsia="黑体"/>
          <w:b/>
          <w:sz w:val="28"/>
          <w:lang w:val="en-US" w:eastAsia="zh-CN"/>
        </w:rPr>
        <w:t>长期持续</w:t>
      </w:r>
      <w:r>
        <w:rPr>
          <w:rFonts w:ascii="黑体" w:hAnsi="黑体" w:eastAsia="黑体"/>
          <w:b/>
          <w:sz w:val="28"/>
        </w:rPr>
        <w:t>计划</w:t>
      </w:r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运维</w:t>
      </w:r>
      <w:r>
        <w:rPr>
          <w:rFonts w:hint="eastAsia" w:ascii="黑体" w:hAnsi="黑体" w:eastAsia="黑体"/>
          <w:b/>
          <w:sz w:val="28"/>
          <w:lang w:eastAsia="zh-CN"/>
        </w:rPr>
        <w:t>）</w:t>
      </w:r>
    </w:p>
    <w:p w14:paraId="6F5D74F1">
      <w:pPr>
        <w:pStyle w:val="16"/>
        <w:spacing w:before="0" w:after="40" w:line="360" w:lineRule="auto"/>
        <w:rPr>
          <w:rFonts w:ascii="仿宋" w:hAnsi="仿宋" w:eastAsia="仿宋"/>
          <w:sz w:val="24"/>
        </w:rPr>
      </w:pPr>
      <w:r>
        <w:rPr>
          <w:rFonts w:hint="eastAsia"/>
          <w:lang w:val="en-US" w:eastAsia="zh-CN"/>
        </w:rPr>
        <w:t>根据使用人员反馈问题及需求进行改进。</w:t>
      </w:r>
    </w:p>
    <w:p w14:paraId="568B472F">
      <w:pPr>
        <w:pStyle w:val="4"/>
        <w:spacing w:before="240" w:after="120" w:line="360" w:lineRule="auto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sz w:val="30"/>
          <w:lang w:val="en-US" w:eastAsia="zh-CN"/>
        </w:rPr>
        <w:t>十</w:t>
      </w:r>
      <w:r>
        <w:rPr>
          <w:rFonts w:ascii="黑体" w:hAnsi="黑体" w:eastAsia="黑体"/>
          <w:b/>
          <w:sz w:val="30"/>
        </w:rPr>
        <w:t>、</w:t>
      </w:r>
      <w:r>
        <w:rPr>
          <w:rFonts w:hint="eastAsia" w:ascii="黑体" w:hAnsi="黑体" w:eastAsia="黑体"/>
          <w:b/>
          <w:sz w:val="30"/>
          <w:lang w:val="en-US" w:eastAsia="zh-CN"/>
        </w:rPr>
        <w:t>项目展示</w:t>
      </w:r>
    </w:p>
    <w:p w14:paraId="6455D265">
      <w:pPr>
        <w:pStyle w:val="5"/>
        <w:spacing w:before="240" w:after="120" w:line="360" w:lineRule="auto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>10</w:t>
      </w:r>
      <w:r>
        <w:rPr>
          <w:rFonts w:ascii="黑体" w:hAnsi="黑体" w:eastAsia="黑体"/>
          <w:b/>
          <w:sz w:val="28"/>
        </w:rPr>
        <w:t xml:space="preserve">.1 </w:t>
      </w:r>
      <w:r>
        <w:rPr>
          <w:rFonts w:hint="eastAsia" w:ascii="黑体" w:hAnsi="黑体" w:eastAsia="黑体"/>
          <w:b/>
          <w:sz w:val="28"/>
          <w:lang w:val="en-US" w:eastAsia="zh-CN"/>
        </w:rPr>
        <w:t>电气设备领用系统</w:t>
      </w:r>
      <w:bookmarkStart w:id="0" w:name="_GoBack"/>
      <w:bookmarkEnd w:id="0"/>
    </w:p>
    <w:p w14:paraId="5DC0E9C3"/>
    <w:p w14:paraId="66B0D8F8">
      <w:pPr>
        <w:rPr>
          <w:rFonts w:hint="eastAsia" w:eastAsia="黑体"/>
          <w:lang w:val="en-US" w:eastAsia="zh-CN"/>
        </w:rPr>
      </w:pPr>
    </w:p>
    <w:p w14:paraId="34B27692">
      <w:pPr>
        <w:pStyle w:val="16"/>
        <w:numPr>
          <w:numId w:val="0"/>
        </w:numPr>
        <w:spacing w:before="0" w:after="40" w:line="360" w:lineRule="auto"/>
        <w:contextualSpacing/>
        <w:rPr>
          <w:rFonts w:ascii="仿宋" w:hAnsi="仿宋" w:eastAsia="仿宋"/>
          <w:sz w:val="24"/>
        </w:rPr>
      </w:pPr>
    </w:p>
    <w:p w14:paraId="78CFB07A">
      <w:pPr>
        <w:pStyle w:val="4"/>
        <w:spacing w:before="240" w:after="120" w:line="360" w:lineRule="auto"/>
      </w:pPr>
      <w:r>
        <w:rPr>
          <w:rFonts w:ascii="黑体" w:hAnsi="黑体" w:eastAsia="黑体"/>
          <w:b/>
          <w:sz w:val="30"/>
        </w:rPr>
        <w:t>十</w:t>
      </w:r>
      <w:r>
        <w:rPr>
          <w:rFonts w:hint="eastAsia" w:ascii="黑体" w:hAnsi="黑体" w:eastAsia="黑体"/>
          <w:b/>
          <w:sz w:val="30"/>
          <w:lang w:val="en-US" w:eastAsia="zh-CN"/>
        </w:rPr>
        <w:t>一</w:t>
      </w:r>
      <w:r>
        <w:rPr>
          <w:rFonts w:ascii="黑体" w:hAnsi="黑体" w:eastAsia="黑体"/>
          <w:b/>
          <w:sz w:val="30"/>
        </w:rPr>
        <w:t>、结论</w:t>
      </w:r>
    </w:p>
    <w:p w14:paraId="362D9D15">
      <w:pPr>
        <w:spacing w:before="0" w:after="0" w:line="360" w:lineRule="auto"/>
        <w:ind w:firstLine="480"/>
      </w:pPr>
      <w:r>
        <w:rPr>
          <w:rFonts w:ascii="仿宋" w:hAnsi="仿宋" w:eastAsia="仿宋"/>
          <w:sz w:val="24"/>
        </w:rPr>
        <w:t>项目已完成从“单模块功能实现”到“双模块、可部署、可运维、可持续扩展”阶段的转变，当前已具备工厂生产环境持续运行条件。下一阶段将围绕稳定性、可观测性与用户体验进行精细化优化，确保系统在生产场景中长期可靠运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236894"/>
    <w:rsid w:val="319C292D"/>
    <w:rsid w:val="3BBC60A6"/>
    <w:rsid w:val="4425059F"/>
    <w:rsid w:val="4511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2744</Words>
  <Characters>3523</Characters>
  <Lines>0</Lines>
  <Paragraphs>0</Paragraphs>
  <TotalTime>3</TotalTime>
  <ScaleCrop>false</ScaleCrop>
  <LinksUpToDate>false</LinksUpToDate>
  <CharactersWithSpaces>3631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 </cp:lastModifiedBy>
  <dcterms:modified xsi:type="dcterms:W3CDTF">2026-04-15T13:02:12Z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eyJoZGlkIjoiMzEwNTM5NzYwMDRjMzkwZTVkZjY2ODkwMGIxNGU0OTUiLCJ1c2VySWQiOiI0MTA5MDk0NDcifQ==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A21D3AAE336C4877A51FE12A086B9E99_12</vt:lpwstr>
  </property>
</Properties>
</file>