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1B17" w14:textId="5DC881AF" w:rsidR="006C73B9" w:rsidRPr="004A64EE" w:rsidRDefault="004A64EE" w:rsidP="004A64EE">
      <w:pPr>
        <w:jc w:val="center"/>
        <w:rPr>
          <w:sz w:val="32"/>
          <w:szCs w:val="32"/>
        </w:rPr>
      </w:pPr>
      <w:r w:rsidRPr="004A64EE">
        <w:rPr>
          <w:sz w:val="32"/>
          <w:szCs w:val="32"/>
        </w:rPr>
        <w:t xml:space="preserve">Data </w:t>
      </w:r>
      <w:r w:rsidR="00C17FCC" w:rsidRPr="004A64EE">
        <w:rPr>
          <w:sz w:val="32"/>
          <w:szCs w:val="32"/>
        </w:rPr>
        <w:t>challenge CDC – données carrière</w:t>
      </w:r>
    </w:p>
    <w:p w14:paraId="130914B7" w14:textId="5E6C60CF" w:rsidR="00C17FCC" w:rsidRDefault="00C17FCC" w:rsidP="004A64EE">
      <w:pPr>
        <w:jc w:val="both"/>
      </w:pPr>
    </w:p>
    <w:p w14:paraId="7ECAC51B" w14:textId="7916152B" w:rsidR="00C17FCC" w:rsidRDefault="0080348B" w:rsidP="004A64EE">
      <w:pPr>
        <w:pStyle w:val="Titre1"/>
        <w:jc w:val="both"/>
      </w:pPr>
      <w:r>
        <w:t>Description du sujet</w:t>
      </w:r>
    </w:p>
    <w:p w14:paraId="1CAAB065" w14:textId="730E0C2D" w:rsidR="00C17FCC" w:rsidRDefault="00C17FCC" w:rsidP="004A64EE">
      <w:pPr>
        <w:jc w:val="both"/>
      </w:pPr>
      <w:r>
        <w:t>Parmi les régimes de retraite dont la Caisse des Dépôts a la gestion, la CNRACL se distingue comme étant le plus gros régime de retraite de base, en termes d’effectifs de cotisants et pensionnés comme de masses de pension versées. Les enjeux de pilotage de ce régime sont donc particulièrement importants. Les prévisions et autres projections du régime participent à ce pilotage, puisqu’elles permettent d’identifier les enjeux</w:t>
      </w:r>
      <w:r w:rsidR="00E82E55">
        <w:t xml:space="preserve">, mais également d’étudier les </w:t>
      </w:r>
      <w:r>
        <w:t xml:space="preserve">répercussions de réformes passées ou </w:t>
      </w:r>
      <w:r w:rsidR="00E82E55">
        <w:t xml:space="preserve">de </w:t>
      </w:r>
      <w:r>
        <w:t xml:space="preserve">mesures à venir. Ces projections s’appuient majoritairement </w:t>
      </w:r>
      <w:r w:rsidR="00E82E55">
        <w:t>sur l</w:t>
      </w:r>
      <w:r>
        <w:t xml:space="preserve">es données de gestion du régime (informations administratives sur les personnes, données de carrière, …) transmises lors des déclarations des employeurs. D’autres sources de données peuvent </w:t>
      </w:r>
      <w:r w:rsidR="00E82E55">
        <w:t xml:space="preserve">toutefois </w:t>
      </w:r>
      <w:r>
        <w:t>venir compléter ces informations.</w:t>
      </w:r>
    </w:p>
    <w:p w14:paraId="7AF4C412" w14:textId="0AE5D4C5" w:rsidR="00C17FCC" w:rsidRDefault="00417C82" w:rsidP="004A64EE">
      <w:pPr>
        <w:jc w:val="both"/>
      </w:pPr>
      <w:r>
        <w:t xml:space="preserve">La qualité des données transmises, récupérées et traitées est donc un enjeu particulièrement important pour la direction des études et des statistiques, en charge de la réalisation des projections. </w:t>
      </w:r>
      <w:r w:rsidR="005F6E46">
        <w:t>Par ailleurs, le modèle de projection du régime de la CNRACL est un modèle de microsimulatio</w:t>
      </w:r>
      <w:r w:rsidR="0077135E">
        <w:t xml:space="preserve">n – nommé Canopée – qui </w:t>
      </w:r>
      <w:r w:rsidR="005F6E46">
        <w:t xml:space="preserve">va simuler les trajectoires individuelles et non à un niveau agrégé. A ce titre, il est important de pouvoir disposer, pour chaque personne </w:t>
      </w:r>
      <w:r w:rsidR="00EB6052">
        <w:t xml:space="preserve">présente dans le modèle (individu présent dans </w:t>
      </w:r>
      <w:r w:rsidR="005F6E46">
        <w:t>les effectifs initiaux (cotisants et pensionnés)</w:t>
      </w:r>
      <w:r w:rsidR="00EB6052">
        <w:t xml:space="preserve"> ou projeté)</w:t>
      </w:r>
      <w:r w:rsidR="005F6E46">
        <w:t>, de ses caractéristiques</w:t>
      </w:r>
      <w:r w:rsidR="00EB6052">
        <w:t>. Ainsi</w:t>
      </w:r>
      <w:r w:rsidR="005F6E46">
        <w:t xml:space="preserve">, pour chacune des variables retenues, </w:t>
      </w:r>
      <w:r w:rsidR="00EB6052">
        <w:t xml:space="preserve">il faudra disposer de l’information souhaitée, </w:t>
      </w:r>
      <w:r w:rsidR="005F6E46">
        <w:t>ou, à défaut, pouvoir lui en assigner une à l’aide d’une complétion ou d’une estimation la plus précise possible se basant sur son historique ou sur l’étude des autres individus.</w:t>
      </w:r>
    </w:p>
    <w:p w14:paraId="75DC16FA" w14:textId="4691C5E2" w:rsidR="005F6E46" w:rsidRDefault="005F6E46" w:rsidP="004A64EE">
      <w:pPr>
        <w:jc w:val="both"/>
      </w:pPr>
      <w:r>
        <w:t xml:space="preserve">La CNRACL gère les agents affiliés à la fonction publique territoriale (FPT) ainsi que ceux affiliés à la fonction publique hospitalière (FPH). D’autres fonctionnaires, en détachement dans l’une de ces deux entités, mais issus de la fonction publique d’Etat (FPE) ou d’autres administrations peuvent également être présents dans les effectifs et donc dans les données. </w:t>
      </w:r>
    </w:p>
    <w:p w14:paraId="616143D8" w14:textId="72B7455F" w:rsidR="00DE0765" w:rsidRDefault="00DE0765" w:rsidP="004A64EE">
      <w:pPr>
        <w:jc w:val="both"/>
      </w:pPr>
      <w:r w:rsidRPr="00DE0765">
        <w:t xml:space="preserve">Chaque fonctionnaire appartient à un corps ou un cadre d'emplois classé en catégorie A, B </w:t>
      </w:r>
      <w:r>
        <w:t>ou</w:t>
      </w:r>
      <w:r w:rsidRPr="00DE0765">
        <w:t xml:space="preserve"> C. Dans ce corps ou cadre d'emplois, il est titulaire d'un grade</w:t>
      </w:r>
      <w:r>
        <w:t xml:space="preserve">. </w:t>
      </w:r>
      <w:r w:rsidRPr="00DE0765">
        <w:t xml:space="preserve">Les filières regroupent </w:t>
      </w:r>
      <w:r>
        <w:t xml:space="preserve">quant à elles </w:t>
      </w:r>
      <w:r w:rsidRPr="00DE0765">
        <w:t xml:space="preserve">les cadres d’emplois </w:t>
      </w:r>
      <w:r>
        <w:t xml:space="preserve">/ corps </w:t>
      </w:r>
      <w:r w:rsidRPr="00DE0765">
        <w:t>d’un même secteur d’activité</w:t>
      </w:r>
      <w:r>
        <w:t>.</w:t>
      </w:r>
    </w:p>
    <w:p w14:paraId="4A7B42B4" w14:textId="77777777" w:rsidR="00DE0765" w:rsidRDefault="00DE0765" w:rsidP="004A64EE">
      <w:pPr>
        <w:jc w:val="both"/>
      </w:pPr>
      <w:r>
        <w:t xml:space="preserve">Un exemple : </w:t>
      </w:r>
    </w:p>
    <w:p w14:paraId="633B1347" w14:textId="0C2E4C71" w:rsidR="00DE0765" w:rsidRDefault="00DE0765" w:rsidP="004A64EE">
      <w:pPr>
        <w:spacing w:after="0"/>
        <w:jc w:val="both"/>
      </w:pPr>
      <w:r w:rsidRPr="00DE0765">
        <w:rPr>
          <w:b/>
          <w:bCs/>
          <w:color w:val="00B050"/>
        </w:rPr>
        <w:t>M. Dupont</w:t>
      </w:r>
      <w:r>
        <w:t xml:space="preserve">, né le </w:t>
      </w:r>
      <w:r w:rsidRPr="00DE0765">
        <w:rPr>
          <w:b/>
          <w:bCs/>
          <w:color w:val="00B050"/>
        </w:rPr>
        <w:t>01/01/1970</w:t>
      </w:r>
      <w:r>
        <w:t xml:space="preserve">, travaille dans la commune de </w:t>
      </w:r>
      <w:r w:rsidRPr="00DE0765">
        <w:rPr>
          <w:b/>
          <w:bCs/>
          <w:color w:val="00B050"/>
        </w:rPr>
        <w:t>Talence</w:t>
      </w:r>
      <w:r>
        <w:t>. Il est fonctionnaire territorial.</w:t>
      </w:r>
    </w:p>
    <w:p w14:paraId="53A9E296" w14:textId="77777777" w:rsidR="00DE0765" w:rsidRDefault="00DE0765" w:rsidP="004A64EE">
      <w:pPr>
        <w:spacing w:after="0"/>
        <w:jc w:val="both"/>
      </w:pPr>
      <w:r w:rsidRPr="00DE0765">
        <w:rPr>
          <w:u w:val="single"/>
        </w:rPr>
        <w:t>Profession</w:t>
      </w:r>
      <w:r>
        <w:t xml:space="preserve"> : </w:t>
      </w:r>
      <w:r w:rsidRPr="00DE0765">
        <w:rPr>
          <w:color w:val="FF0000"/>
        </w:rPr>
        <w:t>Eboueur</w:t>
      </w:r>
    </w:p>
    <w:p w14:paraId="6286488F" w14:textId="769A292A" w:rsidR="00FD62D7" w:rsidRDefault="00FD62D7" w:rsidP="004A64EE">
      <w:pPr>
        <w:spacing w:after="0"/>
        <w:jc w:val="both"/>
        <w:rPr>
          <w:u w:val="single"/>
        </w:rPr>
      </w:pPr>
      <w:r>
        <w:rPr>
          <w:u w:val="single"/>
        </w:rPr>
        <w:t>Indice brut de rémunération</w:t>
      </w:r>
      <w:r w:rsidRPr="00FD62D7">
        <w:t xml:space="preserve"> : </w:t>
      </w:r>
      <w:r w:rsidRPr="00FD62D7">
        <w:rPr>
          <w:b/>
          <w:bCs/>
          <w:color w:val="00B050"/>
        </w:rPr>
        <w:t>374</w:t>
      </w:r>
    </w:p>
    <w:p w14:paraId="7DCEFC43" w14:textId="01B39C78" w:rsidR="00FD62D7" w:rsidRDefault="00FD62D7" w:rsidP="004A64EE">
      <w:pPr>
        <w:spacing w:after="0"/>
        <w:jc w:val="both"/>
        <w:rPr>
          <w:u w:val="single"/>
        </w:rPr>
      </w:pPr>
      <w:r>
        <w:rPr>
          <w:u w:val="single"/>
        </w:rPr>
        <w:t>Echelon</w:t>
      </w:r>
      <w:r w:rsidRPr="00FD62D7">
        <w:t xml:space="preserve"> : </w:t>
      </w:r>
      <w:r w:rsidRPr="00FD62D7">
        <w:rPr>
          <w:color w:val="FF0000"/>
        </w:rPr>
        <w:t>5</w:t>
      </w:r>
    </w:p>
    <w:p w14:paraId="06729BDB" w14:textId="75D1E617" w:rsidR="00FD62D7" w:rsidRDefault="00FD62D7" w:rsidP="004A64EE">
      <w:pPr>
        <w:spacing w:after="0"/>
        <w:jc w:val="both"/>
        <w:rPr>
          <w:u w:val="single"/>
        </w:rPr>
      </w:pPr>
      <w:r>
        <w:rPr>
          <w:u w:val="single"/>
        </w:rPr>
        <w:t>Code grade</w:t>
      </w:r>
      <w:r w:rsidRPr="00FD62D7">
        <w:t> :</w:t>
      </w:r>
      <w:r w:rsidRPr="00FD62D7">
        <w:rPr>
          <w:b/>
          <w:bCs/>
          <w:color w:val="00B050"/>
        </w:rPr>
        <w:t xml:space="preserve"> TTH1</w:t>
      </w:r>
    </w:p>
    <w:p w14:paraId="10F36C2A" w14:textId="1ED0F932" w:rsidR="00DE0765" w:rsidRDefault="00FD62D7" w:rsidP="004A64EE">
      <w:pPr>
        <w:spacing w:after="0"/>
        <w:jc w:val="both"/>
      </w:pPr>
      <w:r>
        <w:rPr>
          <w:u w:val="single"/>
        </w:rPr>
        <w:t>Libellé du g</w:t>
      </w:r>
      <w:r w:rsidR="00DE0765" w:rsidRPr="00DE0765">
        <w:rPr>
          <w:u w:val="single"/>
        </w:rPr>
        <w:t>rade</w:t>
      </w:r>
      <w:r w:rsidR="00DE0765">
        <w:t xml:space="preserve"> : </w:t>
      </w:r>
      <w:r w:rsidR="00DE0765" w:rsidRPr="00DE0765">
        <w:rPr>
          <w:b/>
          <w:bCs/>
          <w:color w:val="00B050"/>
        </w:rPr>
        <w:t>Adjoint technique</w:t>
      </w:r>
      <w:r w:rsidR="00DE0765" w:rsidRPr="00DE0765">
        <w:rPr>
          <w:color w:val="00B050"/>
        </w:rPr>
        <w:t xml:space="preserve"> </w:t>
      </w:r>
    </w:p>
    <w:p w14:paraId="1344E4BF" w14:textId="77777777" w:rsidR="00DE0765" w:rsidRDefault="00DE0765" w:rsidP="004A64EE">
      <w:pPr>
        <w:spacing w:after="0"/>
        <w:jc w:val="both"/>
      </w:pPr>
      <w:r w:rsidRPr="00DE0765">
        <w:rPr>
          <w:u w:val="single"/>
        </w:rPr>
        <w:t>Cadre/corps</w:t>
      </w:r>
      <w:r>
        <w:t xml:space="preserve"> : </w:t>
      </w:r>
      <w:r w:rsidRPr="00DE0765">
        <w:rPr>
          <w:b/>
          <w:bCs/>
          <w:color w:val="00B050"/>
        </w:rPr>
        <w:t>Agents techniques territoriaux</w:t>
      </w:r>
    </w:p>
    <w:p w14:paraId="35AF3782" w14:textId="77777777" w:rsidR="00DE0765" w:rsidRDefault="00DE0765" w:rsidP="004A64EE">
      <w:pPr>
        <w:spacing w:after="0"/>
        <w:jc w:val="both"/>
      </w:pPr>
      <w:r w:rsidRPr="00DE0765">
        <w:rPr>
          <w:u w:val="single"/>
        </w:rPr>
        <w:t>Filière</w:t>
      </w:r>
      <w:r>
        <w:t xml:space="preserve"> : </w:t>
      </w:r>
      <w:r w:rsidRPr="00DE0765">
        <w:rPr>
          <w:b/>
          <w:bCs/>
          <w:color w:val="00B050"/>
        </w:rPr>
        <w:t>Technique</w:t>
      </w:r>
    </w:p>
    <w:p w14:paraId="0B2BBD6B" w14:textId="75BACEF3" w:rsidR="00DE0765" w:rsidRDefault="00DE0765" w:rsidP="004A64EE">
      <w:pPr>
        <w:jc w:val="both"/>
      </w:pPr>
      <w:r w:rsidRPr="00DE0765">
        <w:rPr>
          <w:u w:val="single"/>
        </w:rPr>
        <w:t>Fonction publique</w:t>
      </w:r>
      <w:r>
        <w:t xml:space="preserve"> : </w:t>
      </w:r>
      <w:r w:rsidRPr="00DE0765">
        <w:rPr>
          <w:b/>
          <w:bCs/>
          <w:color w:val="00B050"/>
        </w:rPr>
        <w:t>FPT</w:t>
      </w:r>
      <w:r w:rsidRPr="00DE0765">
        <w:rPr>
          <w:color w:val="00B050"/>
        </w:rPr>
        <w:t xml:space="preserve"> </w:t>
      </w:r>
    </w:p>
    <w:p w14:paraId="1AA23F22" w14:textId="00ED00F9" w:rsidR="00DE0765" w:rsidRDefault="00DE0765" w:rsidP="004A64EE">
      <w:pPr>
        <w:jc w:val="both"/>
      </w:pPr>
      <w:r>
        <w:t>Parmi les informations ci-dessus, toutes celles en vert sont transmises dans les déclarations de son employeur</w:t>
      </w:r>
      <w:r w:rsidR="004A64EE">
        <w:t xml:space="preserve"> </w:t>
      </w:r>
      <w:r>
        <w:t xml:space="preserve">au régime de retraite. </w:t>
      </w:r>
      <w:r w:rsidR="00FD62D7">
        <w:t xml:space="preserve">Toutefois, si certaines données sont (en général) bien normées comme les noms, date de naissance, … ou soumises à des contrôles limitant leur saisie, ce n’est pas le cas </w:t>
      </w:r>
      <w:r w:rsidR="004A64EE">
        <w:t xml:space="preserve">de toute. En outre, l’évolution des bases de données induit une non-homogénéité dans la </w:t>
      </w:r>
      <w:r w:rsidR="004A64EE">
        <w:lastRenderedPageBreak/>
        <w:t xml:space="preserve">disponibilité de toutes les variables dans le temps. Ainsi, </w:t>
      </w:r>
      <w:r w:rsidR="00D93C06">
        <w:t xml:space="preserve">le code permettant d’identifier le grade n’a été mis en place qu’en 2011 et n’est donc jamais renseigné pour les périodes antérieures. Or, justement, la connaissance du grade est déterminante dans le modèle Canopée, puisque chaque individu devra être replacé, sur la dernière période précédant la projection, sur un grade donné, afin que la carrière puisse être simulée. L’autre information permettant d’identifier le grade étant le libellé, qui est </w:t>
      </w:r>
      <w:r w:rsidR="004A64EE">
        <w:t>en saisie libre</w:t>
      </w:r>
      <w:r w:rsidR="00D93C06">
        <w:t xml:space="preserve"> donc non normé</w:t>
      </w:r>
      <w:r w:rsidR="004A64EE">
        <w:t xml:space="preserve">. </w:t>
      </w:r>
    </w:p>
    <w:p w14:paraId="55DCD1B6" w14:textId="77777777" w:rsidR="00DD515F" w:rsidRDefault="00B24C90" w:rsidP="00A32074">
      <w:pPr>
        <w:jc w:val="both"/>
      </w:pPr>
      <w:r>
        <w:t xml:space="preserve">Enfin, </w:t>
      </w:r>
      <w:r w:rsidR="00DC0164">
        <w:t xml:space="preserve">les données </w:t>
      </w:r>
      <w:r>
        <w:t xml:space="preserve">réelles </w:t>
      </w:r>
      <w:r w:rsidR="00DC0164">
        <w:t xml:space="preserve">comportent toujours des données manquantes. </w:t>
      </w:r>
    </w:p>
    <w:p w14:paraId="29AFCD38" w14:textId="00F86F92" w:rsidR="00A32074" w:rsidRDefault="00345B27" w:rsidP="00A32074">
      <w:pPr>
        <w:jc w:val="both"/>
      </w:pPr>
      <w:r>
        <w:t xml:space="preserve">L’enjeu ici va être de pouvoir </w:t>
      </w:r>
      <w:r w:rsidRPr="00DD515F">
        <w:rPr>
          <w:b/>
          <w:bCs/>
          <w:color w:val="FF0000"/>
          <w:u w:val="single"/>
        </w:rPr>
        <w:t>affecter pour chaque période et chaque individu, un grade donné</w:t>
      </w:r>
      <w:r>
        <w:t>, notamment quand le code grade est manquant.</w:t>
      </w:r>
      <w:r w:rsidR="00A32074">
        <w:t xml:space="preserve"> Il faudra également fournir des éléments d’explication de la manière dont on contrôle la qualité de la complétion effectuée. </w:t>
      </w:r>
    </w:p>
    <w:p w14:paraId="3B249710" w14:textId="4FC77926" w:rsidR="00757C02" w:rsidRDefault="00757C02" w:rsidP="004A64EE">
      <w:pPr>
        <w:jc w:val="both"/>
      </w:pPr>
    </w:p>
    <w:p w14:paraId="327F83B8" w14:textId="31E418E6" w:rsidR="00757C02" w:rsidRDefault="00A918F0" w:rsidP="004A64EE">
      <w:pPr>
        <w:pStyle w:val="Titre1"/>
        <w:jc w:val="both"/>
      </w:pPr>
      <w:r>
        <w:t>Problématiques</w:t>
      </w:r>
    </w:p>
    <w:p w14:paraId="169C05A6" w14:textId="6F8C4EF5" w:rsidR="00A918F0" w:rsidRDefault="00A918F0" w:rsidP="004A64EE">
      <w:pPr>
        <w:pStyle w:val="Paragraphedeliste"/>
        <w:numPr>
          <w:ilvl w:val="0"/>
          <w:numId w:val="2"/>
        </w:numPr>
        <w:jc w:val="both"/>
      </w:pPr>
      <w:r>
        <w:t>Les grades évoluent au fil du temps : code, libellé</w:t>
      </w:r>
    </w:p>
    <w:p w14:paraId="74BE112D" w14:textId="401E3D8F" w:rsidR="00A918F0" w:rsidRDefault="00A918F0" w:rsidP="004A64EE">
      <w:pPr>
        <w:pStyle w:val="Paragraphedeliste"/>
        <w:numPr>
          <w:ilvl w:val="0"/>
          <w:numId w:val="2"/>
        </w:numPr>
        <w:jc w:val="both"/>
      </w:pPr>
      <w:r>
        <w:t>Les grilles de rémunération évoluent au fil du temps, et donc les IB associés.</w:t>
      </w:r>
    </w:p>
    <w:p w14:paraId="632C5C42" w14:textId="763C3561" w:rsidR="00341F69" w:rsidRDefault="00341F69" w:rsidP="004A64EE">
      <w:pPr>
        <w:pStyle w:val="Paragraphedeliste"/>
        <w:numPr>
          <w:ilvl w:val="0"/>
          <w:numId w:val="2"/>
        </w:numPr>
        <w:jc w:val="both"/>
      </w:pPr>
      <w:r>
        <w:t>Les agents évoluent durant leur carrière (échelon, mais aussi promotions, …)</w:t>
      </w:r>
    </w:p>
    <w:p w14:paraId="39D84A45" w14:textId="04824ECF" w:rsidR="00A918F0" w:rsidRDefault="00A918F0" w:rsidP="004A64EE">
      <w:pPr>
        <w:pStyle w:val="Paragraphedeliste"/>
        <w:numPr>
          <w:ilvl w:val="0"/>
          <w:numId w:val="2"/>
        </w:numPr>
        <w:jc w:val="both"/>
      </w:pPr>
      <w:r>
        <w:t>Les IB se chevauchent entre grades hiérarchisés d’un même cadre d’emplois, selon l’échelon.</w:t>
      </w:r>
    </w:p>
    <w:p w14:paraId="3AE1CFA4" w14:textId="6BA4D9C5" w:rsidR="00A918F0" w:rsidRDefault="00B01C29" w:rsidP="004A64EE">
      <w:pPr>
        <w:pStyle w:val="Paragraphedeliste"/>
        <w:numPr>
          <w:ilvl w:val="0"/>
          <w:numId w:val="2"/>
        </w:numPr>
        <w:jc w:val="both"/>
      </w:pPr>
      <w:r>
        <w:t>Il peut y avoir présence d’un code et d’un libellé avec information contradictoire. Idem avec l’indice brut qui peut ne pas correspondre</w:t>
      </w:r>
      <w:r w:rsidR="00E92389">
        <w:t xml:space="preserve"> =&gt; NB dans ce cas on privilégiera toujours le code.</w:t>
      </w:r>
    </w:p>
    <w:p w14:paraId="2B30F728" w14:textId="0630651D" w:rsidR="00B01C29" w:rsidRDefault="00B01C29" w:rsidP="004A64EE">
      <w:pPr>
        <w:pStyle w:val="Paragraphedeliste"/>
        <w:numPr>
          <w:ilvl w:val="0"/>
          <w:numId w:val="2"/>
        </w:numPr>
        <w:jc w:val="both"/>
      </w:pPr>
      <w:r>
        <w:t>Pas de codes dans les données avant 2011</w:t>
      </w:r>
    </w:p>
    <w:p w14:paraId="4D314202" w14:textId="41FFC959" w:rsidR="00757C02" w:rsidRDefault="00757C02" w:rsidP="004A64EE">
      <w:pPr>
        <w:pStyle w:val="Titre1"/>
        <w:jc w:val="both"/>
      </w:pPr>
      <w:r>
        <w:t>Données à disposition pour ce challenge</w:t>
      </w:r>
    </w:p>
    <w:p w14:paraId="4E23D5A2" w14:textId="77777777" w:rsidR="00757C02" w:rsidRDefault="00757C02" w:rsidP="004A64EE">
      <w:pPr>
        <w:jc w:val="both"/>
      </w:pPr>
    </w:p>
    <w:p w14:paraId="3EA0600B" w14:textId="77777777" w:rsidR="00F543F3" w:rsidRDefault="00757C02" w:rsidP="004A64EE">
      <w:pPr>
        <w:pStyle w:val="Paragraphedeliste"/>
        <w:numPr>
          <w:ilvl w:val="0"/>
          <w:numId w:val="1"/>
        </w:numPr>
        <w:jc w:val="both"/>
      </w:pPr>
      <w:r>
        <w:t>Nomenclature des emplois territoria</w:t>
      </w:r>
      <w:r w:rsidR="000463B7">
        <w:t>ux</w:t>
      </w:r>
      <w:r>
        <w:t xml:space="preserve"> (NET) : fait la correspondance entre le code et le libellé du grade « normé ». </w:t>
      </w:r>
    </w:p>
    <w:p w14:paraId="3DE65F45" w14:textId="77777777" w:rsidR="00F543F3" w:rsidRDefault="00F543F3" w:rsidP="004A64EE">
      <w:pPr>
        <w:pStyle w:val="Paragraphedeliste"/>
        <w:numPr>
          <w:ilvl w:val="1"/>
          <w:numId w:val="1"/>
        </w:numPr>
        <w:jc w:val="both"/>
      </w:pPr>
      <w:r w:rsidRPr="000463B7">
        <w:rPr>
          <w:i/>
          <w:iCs/>
        </w:rPr>
        <w:t>N4DS-NET-V01X16.csv</w:t>
      </w:r>
      <w:r>
        <w:t xml:space="preserve"> </w:t>
      </w:r>
    </w:p>
    <w:p w14:paraId="0CDC278A" w14:textId="25CB1E4E" w:rsidR="00757C02" w:rsidRDefault="00757C02" w:rsidP="004A64EE">
      <w:pPr>
        <w:pStyle w:val="Paragraphedeliste"/>
        <w:numPr>
          <w:ilvl w:val="1"/>
          <w:numId w:val="1"/>
        </w:numPr>
        <w:jc w:val="both"/>
      </w:pPr>
      <w:r w:rsidRPr="000463B7">
        <w:rPr>
          <w:i/>
          <w:iCs/>
        </w:rPr>
        <w:t>NET 2021_avec_codification_v2.pdf</w:t>
      </w:r>
      <w:r>
        <w:t xml:space="preserve"> vient en complément pour expliquer la construction du code NET.</w:t>
      </w:r>
    </w:p>
    <w:p w14:paraId="3CCB1BE8" w14:textId="77777777" w:rsidR="00F543F3" w:rsidRDefault="000463B7" w:rsidP="004A64EE">
      <w:pPr>
        <w:pStyle w:val="Paragraphedeliste"/>
        <w:numPr>
          <w:ilvl w:val="0"/>
          <w:numId w:val="1"/>
        </w:numPr>
        <w:jc w:val="both"/>
      </w:pPr>
      <w:r>
        <w:t>Nomenclature des emplois hospitaliers (NEH</w:t>
      </w:r>
      <w:r w:rsidR="00F543F3">
        <w:t>)</w:t>
      </w:r>
      <w:r>
        <w:t xml:space="preserve"> </w:t>
      </w:r>
    </w:p>
    <w:p w14:paraId="0CAD93FC" w14:textId="77777777" w:rsidR="00F543F3" w:rsidRDefault="00F543F3" w:rsidP="004A64EE">
      <w:pPr>
        <w:pStyle w:val="Paragraphedeliste"/>
        <w:numPr>
          <w:ilvl w:val="1"/>
          <w:numId w:val="1"/>
        </w:numPr>
        <w:jc w:val="both"/>
      </w:pPr>
      <w:r w:rsidRPr="000463B7">
        <w:rPr>
          <w:i/>
          <w:iCs/>
        </w:rPr>
        <w:t>nehmed_29032022.xlsx</w:t>
      </w:r>
      <w:r>
        <w:t xml:space="preserve"> </w:t>
      </w:r>
    </w:p>
    <w:p w14:paraId="1B99FA2F" w14:textId="24480F07" w:rsidR="000463B7" w:rsidRDefault="000463B7" w:rsidP="004A64EE">
      <w:pPr>
        <w:pStyle w:val="Paragraphedeliste"/>
        <w:numPr>
          <w:ilvl w:val="1"/>
          <w:numId w:val="1"/>
        </w:numPr>
        <w:jc w:val="both"/>
      </w:pPr>
      <w:r w:rsidRPr="000463B7">
        <w:rPr>
          <w:i/>
          <w:iCs/>
        </w:rPr>
        <w:t>2022_10_06_nehpnm2022.xls</w:t>
      </w:r>
    </w:p>
    <w:p w14:paraId="1773C39B" w14:textId="77777777" w:rsidR="00F543F3" w:rsidRDefault="000463B7" w:rsidP="004A64EE">
      <w:pPr>
        <w:pStyle w:val="Paragraphedeliste"/>
        <w:numPr>
          <w:ilvl w:val="0"/>
          <w:numId w:val="1"/>
        </w:numPr>
        <w:jc w:val="both"/>
      </w:pPr>
      <w:r>
        <w:t>Nomenclature des emplois grade (NEG</w:t>
      </w:r>
      <w:r w:rsidR="00F543F3">
        <w:t>)</w:t>
      </w:r>
      <w:r>
        <w:t xml:space="preserve"> </w:t>
      </w:r>
    </w:p>
    <w:p w14:paraId="43F2DF41" w14:textId="77777777" w:rsidR="00F543F3" w:rsidRDefault="000463B7" w:rsidP="004A64EE">
      <w:pPr>
        <w:pStyle w:val="Paragraphedeliste"/>
        <w:numPr>
          <w:ilvl w:val="1"/>
          <w:numId w:val="1"/>
        </w:numPr>
        <w:jc w:val="both"/>
      </w:pPr>
      <w:r w:rsidRPr="000463B7">
        <w:rPr>
          <w:i/>
          <w:iCs/>
        </w:rPr>
        <w:t>NEG_ta_element.csv</w:t>
      </w:r>
      <w:r>
        <w:t xml:space="preserve"> </w:t>
      </w:r>
    </w:p>
    <w:p w14:paraId="3F8C169E" w14:textId="6184DB9F" w:rsidR="000463B7" w:rsidRDefault="000463B7" w:rsidP="004A64EE">
      <w:pPr>
        <w:pStyle w:val="Paragraphedeliste"/>
        <w:numPr>
          <w:ilvl w:val="1"/>
          <w:numId w:val="1"/>
        </w:numPr>
        <w:jc w:val="both"/>
      </w:pPr>
      <w:r w:rsidRPr="000463B7">
        <w:rPr>
          <w:i/>
          <w:iCs/>
        </w:rPr>
        <w:t>NEG_ta_sup_remplaces_elements_remplacement.csv</w:t>
      </w:r>
    </w:p>
    <w:p w14:paraId="40EA56E7" w14:textId="334C2C1E" w:rsidR="00182288" w:rsidRDefault="00182288" w:rsidP="004A64EE">
      <w:pPr>
        <w:pStyle w:val="Paragraphedeliste"/>
        <w:numPr>
          <w:ilvl w:val="0"/>
          <w:numId w:val="1"/>
        </w:numPr>
        <w:jc w:val="both"/>
      </w:pPr>
      <w:r>
        <w:t>Base de données Hackhaton_Full.sas7bdat (150 125 450 lignes et 10 colonnes)</w:t>
      </w:r>
    </w:p>
    <w:p w14:paraId="0C4541EF" w14:textId="521DCABE" w:rsidR="00425F5B" w:rsidRDefault="00425F5B" w:rsidP="004A64EE">
      <w:pPr>
        <w:jc w:val="both"/>
      </w:pPr>
    </w:p>
    <w:p w14:paraId="6629A9E7" w14:textId="77777777" w:rsidR="00E92389" w:rsidRDefault="00E92389">
      <w:pPr>
        <w:rPr>
          <w:rFonts w:asciiTheme="majorHAnsi" w:eastAsiaTheme="majorEastAsia" w:hAnsiTheme="majorHAnsi" w:cstheme="majorBidi"/>
          <w:color w:val="2F5496" w:themeColor="accent1" w:themeShade="BF"/>
          <w:sz w:val="32"/>
          <w:szCs w:val="32"/>
        </w:rPr>
      </w:pPr>
      <w:r>
        <w:br w:type="page"/>
      </w:r>
    </w:p>
    <w:p w14:paraId="5BF7BAC8" w14:textId="2E4347E3" w:rsidR="00425F5B" w:rsidRDefault="00425F5B" w:rsidP="004A64EE">
      <w:pPr>
        <w:pStyle w:val="Titre1"/>
        <w:jc w:val="both"/>
      </w:pPr>
      <w:r>
        <w:lastRenderedPageBreak/>
        <w:t>Dictionnaire des variables</w:t>
      </w:r>
    </w:p>
    <w:p w14:paraId="053ADDC4" w14:textId="3E5A693E" w:rsidR="00425F5B" w:rsidRDefault="00425F5B" w:rsidP="004A64EE">
      <w:pPr>
        <w:jc w:val="both"/>
      </w:pPr>
    </w:p>
    <w:p w14:paraId="2D843C7A" w14:textId="636F20CC" w:rsidR="00425F5B" w:rsidRDefault="00425F5B" w:rsidP="004A64EE">
      <w:pPr>
        <w:jc w:val="both"/>
      </w:pPr>
      <w:r w:rsidRPr="00A32074">
        <w:rPr>
          <w:i/>
          <w:iCs/>
        </w:rPr>
        <w:t>Hackhaton_Full</w:t>
      </w:r>
      <w:r w:rsidR="00A32074" w:rsidRPr="00A32074">
        <w:rPr>
          <w:i/>
          <w:iCs/>
        </w:rPr>
        <w:t>_v3.sas7bdat</w:t>
      </w:r>
      <w:r w:rsidR="00A32074">
        <w:t xml:space="preserve"> ou </w:t>
      </w:r>
      <w:r w:rsidR="00A32074" w:rsidRPr="00A32074">
        <w:rPr>
          <w:i/>
          <w:iCs/>
        </w:rPr>
        <w:t>hackhaton_100k_alea_b.csv</w:t>
      </w:r>
      <w:r w:rsidR="00A32074">
        <w:t xml:space="preserve"> ou</w:t>
      </w:r>
      <w:r w:rsidR="00A32074" w:rsidRPr="00A32074">
        <w:rPr>
          <w:i/>
          <w:iCs/>
        </w:rPr>
        <w:t xml:space="preserve"> hackhaton_020k_alea_b.csv</w:t>
      </w:r>
      <w:r w:rsidR="00A32074">
        <w:t xml:space="preserve"> </w:t>
      </w:r>
    </w:p>
    <w:p w14:paraId="0E14A503" w14:textId="48B6446B" w:rsidR="00544752" w:rsidRDefault="00134E0F" w:rsidP="004A64EE">
      <w:pPr>
        <w:jc w:val="both"/>
      </w:pPr>
      <w:r w:rsidRPr="00134E0F">
        <w:rPr>
          <w:noProof/>
        </w:rPr>
        <w:drawing>
          <wp:inline distT="0" distB="0" distL="0" distR="0" wp14:anchorId="7630DCD7" wp14:editId="7A527743">
            <wp:extent cx="5760720" cy="19672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67230"/>
                    </a:xfrm>
                    <a:prstGeom prst="rect">
                      <a:avLst/>
                    </a:prstGeom>
                  </pic:spPr>
                </pic:pic>
              </a:graphicData>
            </a:graphic>
          </wp:inline>
        </w:drawing>
      </w:r>
    </w:p>
    <w:p w14:paraId="136B991C" w14:textId="6E9163A4" w:rsidR="00134E0F" w:rsidRDefault="00134E0F" w:rsidP="004A64EE">
      <w:pPr>
        <w:jc w:val="both"/>
      </w:pPr>
    </w:p>
    <w:p w14:paraId="5AA87F17" w14:textId="40F23B77" w:rsidR="00134E0F" w:rsidRDefault="00134E0F" w:rsidP="00A3562E">
      <w:pPr>
        <w:pStyle w:val="Paragraphedeliste"/>
        <w:numPr>
          <w:ilvl w:val="0"/>
          <w:numId w:val="1"/>
        </w:numPr>
        <w:jc w:val="both"/>
      </w:pPr>
      <w:r w:rsidRPr="00FE37E5">
        <w:rPr>
          <w:i/>
          <w:iCs/>
        </w:rPr>
        <w:t>Categorie_emploi</w:t>
      </w:r>
      <w:r>
        <w:t xml:space="preserve"> = </w:t>
      </w:r>
      <w:r w:rsidR="00FE37E5">
        <w:t xml:space="preserve">catégorie d’emploi exercé par l’agent </w:t>
      </w:r>
      <w:r w:rsidR="00A3562E">
        <w:t>(voir annexe 3)</w:t>
      </w:r>
    </w:p>
    <w:p w14:paraId="01E6BC8D" w14:textId="3E153E67" w:rsidR="00134E0F" w:rsidRDefault="00134E0F" w:rsidP="00134E0F">
      <w:pPr>
        <w:pStyle w:val="Paragraphedeliste"/>
        <w:numPr>
          <w:ilvl w:val="0"/>
          <w:numId w:val="1"/>
        </w:numPr>
        <w:jc w:val="both"/>
      </w:pPr>
      <w:r w:rsidRPr="00FE37E5">
        <w:rPr>
          <w:i/>
          <w:iCs/>
        </w:rPr>
        <w:t>Emploi_statutaire</w:t>
      </w:r>
      <w:r>
        <w:t xml:space="preserve"> = code grade de l’agent (rempli depuis 2011 seulement)</w:t>
      </w:r>
      <w:r w:rsidR="00FE37E5">
        <w:t>. Voir nomenclatures NET et NEH</w:t>
      </w:r>
    </w:p>
    <w:p w14:paraId="6FBCC043" w14:textId="1D3381D3" w:rsidR="00134E0F" w:rsidRDefault="00134E0F" w:rsidP="00134E0F">
      <w:pPr>
        <w:pStyle w:val="Paragraphedeliste"/>
        <w:numPr>
          <w:ilvl w:val="0"/>
          <w:numId w:val="1"/>
        </w:numPr>
        <w:jc w:val="both"/>
      </w:pPr>
      <w:r w:rsidRPr="00FE37E5">
        <w:rPr>
          <w:i/>
          <w:iCs/>
        </w:rPr>
        <w:t>Etat</w:t>
      </w:r>
      <w:r>
        <w:t xml:space="preserve"> = code état de la période (voir annexe 3)</w:t>
      </w:r>
    </w:p>
    <w:p w14:paraId="4F16FDA4" w14:textId="6DF8002A" w:rsidR="00134E0F" w:rsidRDefault="00134E0F" w:rsidP="00134E0F">
      <w:pPr>
        <w:pStyle w:val="Paragraphedeliste"/>
        <w:numPr>
          <w:ilvl w:val="0"/>
          <w:numId w:val="1"/>
        </w:numPr>
        <w:jc w:val="both"/>
      </w:pPr>
      <w:r w:rsidRPr="00FE37E5">
        <w:rPr>
          <w:i/>
          <w:iCs/>
        </w:rPr>
        <w:t>ID_carriere</w:t>
      </w:r>
      <w:r>
        <w:t xml:space="preserve"> = numéro d’identification d’un agent</w:t>
      </w:r>
    </w:p>
    <w:p w14:paraId="55353C2C" w14:textId="0216A56C" w:rsidR="00134E0F" w:rsidRDefault="00134E0F" w:rsidP="00134E0F">
      <w:pPr>
        <w:pStyle w:val="Paragraphedeliste"/>
        <w:numPr>
          <w:ilvl w:val="0"/>
          <w:numId w:val="1"/>
        </w:numPr>
        <w:jc w:val="both"/>
      </w:pPr>
      <w:r w:rsidRPr="00FE37E5">
        <w:rPr>
          <w:i/>
          <w:iCs/>
        </w:rPr>
        <w:t>Indice_brut</w:t>
      </w:r>
      <w:r>
        <w:t xml:space="preserve"> = indice brut de rémunération d’un agent, correspondant à sa grille</w:t>
      </w:r>
      <w:r w:rsidR="00FE37E5">
        <w:t xml:space="preserve"> (voir NEG)</w:t>
      </w:r>
    </w:p>
    <w:p w14:paraId="35CED30E" w14:textId="542B78C8" w:rsidR="00134E0F" w:rsidRDefault="00134E0F" w:rsidP="00134E0F">
      <w:pPr>
        <w:pStyle w:val="Paragraphedeliste"/>
        <w:numPr>
          <w:ilvl w:val="0"/>
          <w:numId w:val="1"/>
        </w:numPr>
        <w:jc w:val="both"/>
      </w:pPr>
      <w:r w:rsidRPr="00FE37E5">
        <w:rPr>
          <w:i/>
          <w:iCs/>
        </w:rPr>
        <w:t>Libelle_emploi_grade</w:t>
      </w:r>
      <w:r>
        <w:t xml:space="preserve"> = libellé du grade de l’agent</w:t>
      </w:r>
    </w:p>
    <w:p w14:paraId="619A8AB5" w14:textId="50B7B95B" w:rsidR="00134E0F" w:rsidRDefault="00134E0F" w:rsidP="00A3562E">
      <w:pPr>
        <w:pStyle w:val="Paragraphedeliste"/>
        <w:numPr>
          <w:ilvl w:val="0"/>
          <w:numId w:val="1"/>
        </w:numPr>
        <w:jc w:val="both"/>
      </w:pPr>
      <w:r w:rsidRPr="00FE37E5">
        <w:rPr>
          <w:i/>
          <w:iCs/>
        </w:rPr>
        <w:t>Qualite</w:t>
      </w:r>
      <w:r>
        <w:t xml:space="preserve"> = </w:t>
      </w:r>
      <w:r w:rsidR="00FE37E5">
        <w:t>statut juridique liant l’agent à son employeur pendant la période</w:t>
      </w:r>
      <w:r w:rsidR="00A3562E">
        <w:t xml:space="preserve"> (voir annexe 3)</w:t>
      </w:r>
    </w:p>
    <w:p w14:paraId="13D673DF" w14:textId="746CA184" w:rsidR="00134E0F" w:rsidRDefault="00134E0F" w:rsidP="00A3562E">
      <w:pPr>
        <w:pStyle w:val="Paragraphedeliste"/>
        <w:numPr>
          <w:ilvl w:val="0"/>
          <w:numId w:val="1"/>
        </w:numPr>
        <w:jc w:val="both"/>
      </w:pPr>
      <w:r w:rsidRPr="00FE37E5">
        <w:rPr>
          <w:i/>
          <w:iCs/>
        </w:rPr>
        <w:t>Statut_agent</w:t>
      </w:r>
      <w:r>
        <w:t xml:space="preserve"> = </w:t>
      </w:r>
      <w:r w:rsidR="00FE37E5">
        <w:t>fonction publique où exerce l’agent</w:t>
      </w:r>
      <w:r w:rsidR="00A3562E">
        <w:t xml:space="preserve"> (voir annexe 3)</w:t>
      </w:r>
    </w:p>
    <w:p w14:paraId="417CAFDA" w14:textId="5A0337F3" w:rsidR="00134E0F" w:rsidRDefault="00134E0F" w:rsidP="00134E0F">
      <w:pPr>
        <w:pStyle w:val="Paragraphedeliste"/>
        <w:numPr>
          <w:ilvl w:val="0"/>
          <w:numId w:val="1"/>
        </w:numPr>
        <w:jc w:val="both"/>
      </w:pPr>
      <w:r w:rsidRPr="00FE37E5">
        <w:rPr>
          <w:i/>
          <w:iCs/>
        </w:rPr>
        <w:t>Date_debut</w:t>
      </w:r>
      <w:r>
        <w:t xml:space="preserve"> = date de début de la période sur laquelle les autres informations sont valides</w:t>
      </w:r>
    </w:p>
    <w:p w14:paraId="66241E66" w14:textId="2E2654BD" w:rsidR="00134E0F" w:rsidRDefault="00134E0F" w:rsidP="00134E0F">
      <w:pPr>
        <w:pStyle w:val="Paragraphedeliste"/>
        <w:numPr>
          <w:ilvl w:val="0"/>
          <w:numId w:val="1"/>
        </w:numPr>
        <w:jc w:val="both"/>
      </w:pPr>
      <w:r w:rsidRPr="00FE37E5">
        <w:rPr>
          <w:i/>
          <w:iCs/>
        </w:rPr>
        <w:t>Date_fin</w:t>
      </w:r>
      <w:r>
        <w:t xml:space="preserve"> = date de fin de la période sur laquelle les autres informations sont valides</w:t>
      </w:r>
    </w:p>
    <w:p w14:paraId="69FA4C3D" w14:textId="424BC1B6" w:rsidR="00354F14" w:rsidRDefault="00354F14" w:rsidP="004A64EE">
      <w:pPr>
        <w:jc w:val="both"/>
      </w:pPr>
    </w:p>
    <w:p w14:paraId="687C0082" w14:textId="782C65C6" w:rsidR="00631B06" w:rsidRDefault="00631B06" w:rsidP="004A64EE">
      <w:pPr>
        <w:jc w:val="both"/>
      </w:pPr>
    </w:p>
    <w:p w14:paraId="5A494202" w14:textId="477621EA" w:rsidR="00631B06" w:rsidRDefault="00631B06" w:rsidP="004A64EE">
      <w:pPr>
        <w:jc w:val="both"/>
      </w:pPr>
    </w:p>
    <w:p w14:paraId="19FFEA06" w14:textId="09C19DC2" w:rsidR="00631B06" w:rsidRDefault="00631B06" w:rsidP="004A64EE">
      <w:pPr>
        <w:jc w:val="both"/>
      </w:pPr>
      <w:r>
        <w:br w:type="page"/>
      </w:r>
    </w:p>
    <w:p w14:paraId="5F4ECA80" w14:textId="63953555" w:rsidR="008269F2" w:rsidRPr="0067202C" w:rsidRDefault="008269F2" w:rsidP="004A64EE">
      <w:pPr>
        <w:jc w:val="both"/>
        <w:rPr>
          <w:b/>
          <w:bCs/>
          <w:sz w:val="24"/>
          <w:szCs w:val="24"/>
        </w:rPr>
      </w:pPr>
      <w:r w:rsidRPr="0067202C">
        <w:rPr>
          <w:b/>
          <w:bCs/>
          <w:sz w:val="24"/>
          <w:szCs w:val="24"/>
        </w:rPr>
        <w:lastRenderedPageBreak/>
        <w:t xml:space="preserve">Annexe 1 : </w:t>
      </w:r>
      <w:r w:rsidR="005B3638">
        <w:rPr>
          <w:b/>
          <w:bCs/>
          <w:sz w:val="24"/>
          <w:szCs w:val="24"/>
        </w:rPr>
        <w:t>exemples</w:t>
      </w:r>
      <w:r w:rsidRPr="0067202C">
        <w:rPr>
          <w:b/>
          <w:bCs/>
          <w:sz w:val="24"/>
          <w:szCs w:val="24"/>
        </w:rPr>
        <w:t xml:space="preserve"> de complétion possibles</w:t>
      </w:r>
    </w:p>
    <w:p w14:paraId="2C586306" w14:textId="77777777" w:rsidR="005B49F8" w:rsidRDefault="00905242" w:rsidP="004A64EE">
      <w:pPr>
        <w:pStyle w:val="Paragraphedeliste"/>
        <w:numPr>
          <w:ilvl w:val="0"/>
          <w:numId w:val="3"/>
        </w:numPr>
        <w:jc w:val="both"/>
      </w:pPr>
      <w:r>
        <w:t>Complétion d’une modalité manquante sur une période quand les deux périodes l’entourant ont la même modalité</w:t>
      </w:r>
    </w:p>
    <w:p w14:paraId="7736763A" w14:textId="1C22FCA3" w:rsidR="008269F2" w:rsidRDefault="008269F2" w:rsidP="004A64EE">
      <w:pPr>
        <w:jc w:val="both"/>
      </w:pPr>
      <w:r w:rsidRPr="008269F2">
        <w:rPr>
          <w:noProof/>
        </w:rPr>
        <w:drawing>
          <wp:inline distT="0" distB="0" distL="0" distR="0" wp14:anchorId="5B282A21" wp14:editId="140DDAB1">
            <wp:extent cx="6431627" cy="80962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155" cy="810195"/>
                    </a:xfrm>
                    <a:prstGeom prst="rect">
                      <a:avLst/>
                    </a:prstGeom>
                  </pic:spPr>
                </pic:pic>
              </a:graphicData>
            </a:graphic>
          </wp:inline>
        </w:drawing>
      </w:r>
    </w:p>
    <w:p w14:paraId="1E5851DC" w14:textId="3D4918B3" w:rsidR="00905242" w:rsidRDefault="00905242" w:rsidP="004A64EE">
      <w:pPr>
        <w:jc w:val="both"/>
      </w:pPr>
    </w:p>
    <w:p w14:paraId="772BB873" w14:textId="06FD36D6" w:rsidR="005B49F8" w:rsidRDefault="005B49F8" w:rsidP="004A64EE">
      <w:pPr>
        <w:pStyle w:val="Paragraphedeliste"/>
        <w:numPr>
          <w:ilvl w:val="0"/>
          <w:numId w:val="3"/>
        </w:numPr>
        <w:jc w:val="both"/>
      </w:pPr>
      <w:r>
        <w:t>Complétion d’un code à partir d’un libellé assez bien normé et de l’indice brut qu’on doit pouvoir retrouver dans la grille(NEG) de la période</w:t>
      </w:r>
    </w:p>
    <w:p w14:paraId="59551538" w14:textId="77777777" w:rsidR="005B49F8" w:rsidRDefault="005B49F8" w:rsidP="004A64EE">
      <w:pPr>
        <w:pStyle w:val="Paragraphedeliste"/>
        <w:jc w:val="both"/>
      </w:pPr>
    </w:p>
    <w:p w14:paraId="3B2D7101" w14:textId="492D1C8E" w:rsidR="005B49F8" w:rsidRDefault="005B49F8" w:rsidP="004A64EE">
      <w:pPr>
        <w:jc w:val="both"/>
      </w:pPr>
      <w:r w:rsidRPr="005B49F8">
        <w:rPr>
          <w:noProof/>
        </w:rPr>
        <w:drawing>
          <wp:inline distT="0" distB="0" distL="0" distR="0" wp14:anchorId="62AD6181" wp14:editId="115B43C1">
            <wp:extent cx="6406318" cy="819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9969" cy="819617"/>
                    </a:xfrm>
                    <a:prstGeom prst="rect">
                      <a:avLst/>
                    </a:prstGeom>
                  </pic:spPr>
                </pic:pic>
              </a:graphicData>
            </a:graphic>
          </wp:inline>
        </w:drawing>
      </w:r>
    </w:p>
    <w:p w14:paraId="635000DF" w14:textId="77777777" w:rsidR="005B49F8" w:rsidRDefault="005B49F8" w:rsidP="004A64EE">
      <w:pPr>
        <w:pStyle w:val="Paragraphedeliste"/>
        <w:jc w:val="both"/>
      </w:pPr>
    </w:p>
    <w:p w14:paraId="192F99C3" w14:textId="776845EC" w:rsidR="005B49F8" w:rsidRDefault="005B49F8" w:rsidP="004A64EE">
      <w:pPr>
        <w:pStyle w:val="Paragraphedeliste"/>
        <w:numPr>
          <w:ilvl w:val="0"/>
          <w:numId w:val="3"/>
        </w:numPr>
        <w:jc w:val="both"/>
      </w:pPr>
      <w:r>
        <w:t xml:space="preserve"> Complétion de périodes dont la modalité du libellé est similaire à certaines périodes suivantes qui ont la variable code renseignée</w:t>
      </w:r>
    </w:p>
    <w:p w14:paraId="335048DA" w14:textId="4BDEAB9F" w:rsidR="005B49F8" w:rsidRDefault="005B49F8" w:rsidP="004A64EE">
      <w:pPr>
        <w:jc w:val="both"/>
      </w:pPr>
      <w:r w:rsidRPr="005B49F8">
        <w:rPr>
          <w:noProof/>
        </w:rPr>
        <w:drawing>
          <wp:inline distT="0" distB="0" distL="0" distR="0" wp14:anchorId="386AD8AA" wp14:editId="4FE18FEC">
            <wp:extent cx="6496069" cy="14192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793" cy="1419383"/>
                    </a:xfrm>
                    <a:prstGeom prst="rect">
                      <a:avLst/>
                    </a:prstGeom>
                  </pic:spPr>
                </pic:pic>
              </a:graphicData>
            </a:graphic>
          </wp:inline>
        </w:drawing>
      </w:r>
    </w:p>
    <w:p w14:paraId="171D914E" w14:textId="6671A16D" w:rsidR="005B49F8" w:rsidRDefault="00905242" w:rsidP="004A64EE">
      <w:pPr>
        <w:pStyle w:val="Paragraphedeliste"/>
        <w:numPr>
          <w:ilvl w:val="0"/>
          <w:numId w:val="3"/>
        </w:numPr>
        <w:jc w:val="both"/>
      </w:pPr>
      <w:r>
        <w:t>Complétion d’une information quand on connaît le code de la période suivante et que la modalité du libellé se retrouve dans la NEG (cas compliqué car changement de code et de libellé même si cohérence de l’emploi)</w:t>
      </w:r>
    </w:p>
    <w:p w14:paraId="24A280CB" w14:textId="338CBF70" w:rsidR="00905242" w:rsidRDefault="00905242" w:rsidP="004A64EE">
      <w:pPr>
        <w:jc w:val="both"/>
      </w:pPr>
      <w:r w:rsidRPr="00905242">
        <w:rPr>
          <w:noProof/>
        </w:rPr>
        <w:drawing>
          <wp:inline distT="0" distB="0" distL="0" distR="0" wp14:anchorId="0D47FB4F" wp14:editId="13963C9C">
            <wp:extent cx="6486043" cy="1181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9200" cy="1183496"/>
                    </a:xfrm>
                    <a:prstGeom prst="rect">
                      <a:avLst/>
                    </a:prstGeom>
                  </pic:spPr>
                </pic:pic>
              </a:graphicData>
            </a:graphic>
          </wp:inline>
        </w:drawing>
      </w:r>
    </w:p>
    <w:p w14:paraId="3998F844" w14:textId="77777777" w:rsidR="00905242" w:rsidRDefault="00905242" w:rsidP="004A64EE">
      <w:pPr>
        <w:pStyle w:val="Paragraphedeliste"/>
        <w:jc w:val="both"/>
      </w:pPr>
    </w:p>
    <w:p w14:paraId="5F8A7B2E" w14:textId="77777777" w:rsidR="00905242" w:rsidRDefault="00905242" w:rsidP="0067202C">
      <w:pPr>
        <w:pStyle w:val="Paragraphedeliste"/>
        <w:jc w:val="both"/>
      </w:pPr>
    </w:p>
    <w:p w14:paraId="009B5F26" w14:textId="77777777" w:rsidR="008269F2" w:rsidRDefault="008269F2" w:rsidP="004A64EE">
      <w:pPr>
        <w:jc w:val="both"/>
      </w:pPr>
      <w:r>
        <w:br w:type="page"/>
      </w:r>
    </w:p>
    <w:p w14:paraId="49480E89" w14:textId="77777777" w:rsidR="00E8227A" w:rsidRDefault="00631B06" w:rsidP="004A64EE">
      <w:pPr>
        <w:jc w:val="both"/>
        <w:rPr>
          <w:b/>
          <w:bCs/>
          <w:sz w:val="24"/>
          <w:szCs w:val="24"/>
        </w:rPr>
      </w:pPr>
      <w:r w:rsidRPr="00E8227A">
        <w:rPr>
          <w:b/>
          <w:bCs/>
          <w:sz w:val="24"/>
          <w:szCs w:val="24"/>
        </w:rPr>
        <w:lastRenderedPageBreak/>
        <w:t xml:space="preserve">Annexe </w:t>
      </w:r>
      <w:r w:rsidR="00E8227A">
        <w:rPr>
          <w:b/>
          <w:bCs/>
          <w:sz w:val="24"/>
          <w:szCs w:val="24"/>
        </w:rPr>
        <w:t>2</w:t>
      </w:r>
      <w:r w:rsidRPr="00E8227A">
        <w:rPr>
          <w:b/>
          <w:bCs/>
          <w:sz w:val="24"/>
          <w:szCs w:val="24"/>
        </w:rPr>
        <w:t> : stat</w:t>
      </w:r>
      <w:r w:rsidR="0008750B" w:rsidRPr="00E8227A">
        <w:rPr>
          <w:b/>
          <w:bCs/>
          <w:sz w:val="24"/>
          <w:szCs w:val="24"/>
        </w:rPr>
        <w:t xml:space="preserve">istiques </w:t>
      </w:r>
      <w:r w:rsidRPr="00E8227A">
        <w:rPr>
          <w:b/>
          <w:bCs/>
          <w:sz w:val="24"/>
          <w:szCs w:val="24"/>
        </w:rPr>
        <w:t>par grade (code) de la dernière période de chaque individu</w:t>
      </w:r>
    </w:p>
    <w:p w14:paraId="63CDCA15" w14:textId="5A629006" w:rsidR="00631B06" w:rsidRPr="00E8227A" w:rsidRDefault="00E8227A" w:rsidP="004A64EE">
      <w:pPr>
        <w:jc w:val="both"/>
      </w:pPr>
      <w:r w:rsidRPr="00E8227A">
        <w:t>(</w:t>
      </w:r>
      <w:r w:rsidR="0008750B" w:rsidRPr="00E8227A">
        <w:t>par ordre décroissant, 37 lignes avec les effectifs les plus élevés seulement</w:t>
      </w:r>
      <w:r>
        <w:t>, fait sur la table exhaustive)</w:t>
      </w:r>
    </w:p>
    <w:p w14:paraId="0C9B5310" w14:textId="1E63511C" w:rsidR="00134E0F" w:rsidRDefault="00631B06" w:rsidP="004A64EE">
      <w:pPr>
        <w:jc w:val="both"/>
      </w:pPr>
      <w:r w:rsidRPr="00631B06">
        <w:rPr>
          <w:noProof/>
        </w:rPr>
        <w:drawing>
          <wp:inline distT="0" distB="0" distL="0" distR="0" wp14:anchorId="2DA99738" wp14:editId="5E1B1057">
            <wp:extent cx="2667372" cy="80021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8002117"/>
                    </a:xfrm>
                    <a:prstGeom prst="rect">
                      <a:avLst/>
                    </a:prstGeom>
                  </pic:spPr>
                </pic:pic>
              </a:graphicData>
            </a:graphic>
          </wp:inline>
        </w:drawing>
      </w:r>
    </w:p>
    <w:p w14:paraId="632B6DB2" w14:textId="77777777" w:rsidR="00134E0F" w:rsidRDefault="00134E0F">
      <w:r>
        <w:br w:type="page"/>
      </w:r>
    </w:p>
    <w:p w14:paraId="447A2ED4" w14:textId="0FCE0B72" w:rsidR="00631B06" w:rsidRPr="00134E0F" w:rsidRDefault="00134E0F" w:rsidP="004A64EE">
      <w:pPr>
        <w:jc w:val="both"/>
        <w:rPr>
          <w:b/>
          <w:bCs/>
          <w:sz w:val="24"/>
          <w:szCs w:val="24"/>
        </w:rPr>
      </w:pPr>
      <w:r w:rsidRPr="00134E0F">
        <w:rPr>
          <w:b/>
          <w:bCs/>
          <w:sz w:val="24"/>
          <w:szCs w:val="24"/>
        </w:rPr>
        <w:lastRenderedPageBreak/>
        <w:t xml:space="preserve">Annexe 3 : </w:t>
      </w:r>
      <w:r w:rsidR="00FE37E5">
        <w:rPr>
          <w:b/>
          <w:bCs/>
          <w:sz w:val="24"/>
          <w:szCs w:val="24"/>
        </w:rPr>
        <w:t xml:space="preserve">modalités des variables </w:t>
      </w:r>
    </w:p>
    <w:p w14:paraId="6EACC99F" w14:textId="01D67469" w:rsidR="00FE37E5" w:rsidRPr="00FE37E5" w:rsidRDefault="00FE37E5" w:rsidP="00E92389">
      <w:pPr>
        <w:pStyle w:val="Paragraphedeliste"/>
        <w:numPr>
          <w:ilvl w:val="0"/>
          <w:numId w:val="1"/>
        </w:numPr>
        <w:spacing w:after="0"/>
        <w:ind w:left="714" w:hanging="357"/>
        <w:jc w:val="both"/>
        <w:rPr>
          <w:b/>
          <w:bCs/>
          <w:color w:val="FF0000"/>
          <w:sz w:val="24"/>
          <w:szCs w:val="24"/>
        </w:rPr>
      </w:pPr>
      <w:r w:rsidRPr="00FE37E5">
        <w:rPr>
          <w:b/>
          <w:bCs/>
          <w:color w:val="FF0000"/>
          <w:sz w:val="24"/>
          <w:szCs w:val="24"/>
        </w:rPr>
        <w:t>CATEGORIE_EMPLOI</w:t>
      </w:r>
    </w:p>
    <w:p w14:paraId="65A5E037" w14:textId="61A08D8B" w:rsidR="00FE37E5" w:rsidRDefault="00FE37E5" w:rsidP="004A64EE">
      <w:pPr>
        <w:jc w:val="both"/>
      </w:pPr>
      <w:r w:rsidRPr="00FE37E5">
        <w:rPr>
          <w:noProof/>
        </w:rPr>
        <w:drawing>
          <wp:inline distT="0" distB="0" distL="0" distR="0" wp14:anchorId="7837957C" wp14:editId="6726DCDB">
            <wp:extent cx="1044087" cy="542925"/>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0664" cy="546345"/>
                    </a:xfrm>
                    <a:prstGeom prst="rect">
                      <a:avLst/>
                    </a:prstGeom>
                  </pic:spPr>
                </pic:pic>
              </a:graphicData>
            </a:graphic>
          </wp:inline>
        </w:drawing>
      </w:r>
    </w:p>
    <w:p w14:paraId="0FA1F6DD" w14:textId="77777777" w:rsidR="007212BB" w:rsidRPr="00FE37E5" w:rsidRDefault="007212BB" w:rsidP="00E92389">
      <w:pPr>
        <w:pStyle w:val="Paragraphedeliste"/>
        <w:numPr>
          <w:ilvl w:val="0"/>
          <w:numId w:val="1"/>
        </w:numPr>
        <w:spacing w:after="0"/>
        <w:ind w:left="714" w:hanging="357"/>
        <w:jc w:val="both"/>
        <w:rPr>
          <w:b/>
          <w:bCs/>
          <w:color w:val="FF0000"/>
          <w:sz w:val="24"/>
          <w:szCs w:val="24"/>
        </w:rPr>
      </w:pPr>
      <w:r w:rsidRPr="00FE37E5">
        <w:rPr>
          <w:b/>
          <w:bCs/>
          <w:color w:val="FF0000"/>
          <w:sz w:val="24"/>
          <w:szCs w:val="24"/>
        </w:rPr>
        <w:t>ETAT</w:t>
      </w:r>
    </w:p>
    <w:p w14:paraId="538838D4" w14:textId="77777777" w:rsidR="007212BB" w:rsidRDefault="007212BB" w:rsidP="007212BB">
      <w:pPr>
        <w:jc w:val="both"/>
      </w:pPr>
      <w:r w:rsidRPr="00134E0F">
        <w:rPr>
          <w:noProof/>
        </w:rPr>
        <w:drawing>
          <wp:inline distT="0" distB="0" distL="0" distR="0" wp14:anchorId="07CA10C1" wp14:editId="116F1EEC">
            <wp:extent cx="2008998" cy="2971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7952" cy="2985045"/>
                    </a:xfrm>
                    <a:prstGeom prst="rect">
                      <a:avLst/>
                    </a:prstGeom>
                  </pic:spPr>
                </pic:pic>
              </a:graphicData>
            </a:graphic>
          </wp:inline>
        </w:drawing>
      </w:r>
    </w:p>
    <w:p w14:paraId="2BF8EDDD" w14:textId="77777777" w:rsidR="007212BB" w:rsidRDefault="007212BB" w:rsidP="007212BB">
      <w:pPr>
        <w:jc w:val="both"/>
      </w:pPr>
      <w:r>
        <w:t>NB : les codes ‘02’, ‘03’ et ‘20’ ont été écartés de la base en amont.</w:t>
      </w:r>
    </w:p>
    <w:p w14:paraId="1FA0FAD0" w14:textId="77777777" w:rsidR="00FE37E5" w:rsidRDefault="00FE37E5" w:rsidP="004A64EE">
      <w:pPr>
        <w:jc w:val="both"/>
      </w:pPr>
    </w:p>
    <w:p w14:paraId="32E7D485" w14:textId="654B829C" w:rsidR="00FE37E5" w:rsidRDefault="00FE37E5" w:rsidP="00E92389">
      <w:pPr>
        <w:pStyle w:val="Paragraphedeliste"/>
        <w:numPr>
          <w:ilvl w:val="0"/>
          <w:numId w:val="1"/>
        </w:numPr>
        <w:spacing w:after="0"/>
        <w:ind w:left="714" w:hanging="357"/>
        <w:jc w:val="both"/>
      </w:pPr>
      <w:r w:rsidRPr="00FE37E5">
        <w:rPr>
          <w:b/>
          <w:bCs/>
          <w:color w:val="FF0000"/>
          <w:sz w:val="24"/>
          <w:szCs w:val="24"/>
        </w:rPr>
        <w:t>QUALITE</w:t>
      </w:r>
    </w:p>
    <w:p w14:paraId="73E439A5" w14:textId="48D58F8D" w:rsidR="00FE37E5" w:rsidRDefault="00FE37E5" w:rsidP="004A64EE">
      <w:pPr>
        <w:jc w:val="both"/>
      </w:pPr>
      <w:r w:rsidRPr="00FE37E5">
        <w:rPr>
          <w:noProof/>
        </w:rPr>
        <w:drawing>
          <wp:inline distT="0" distB="0" distL="0" distR="0" wp14:anchorId="439FC3F9" wp14:editId="7CC0786A">
            <wp:extent cx="3222225" cy="1619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181" cy="1628274"/>
                    </a:xfrm>
                    <a:prstGeom prst="rect">
                      <a:avLst/>
                    </a:prstGeom>
                  </pic:spPr>
                </pic:pic>
              </a:graphicData>
            </a:graphic>
          </wp:inline>
        </w:drawing>
      </w:r>
    </w:p>
    <w:p w14:paraId="43F0E419" w14:textId="58DB24B5" w:rsidR="00FE37E5" w:rsidRDefault="00FE37E5" w:rsidP="004A64EE">
      <w:pPr>
        <w:jc w:val="both"/>
      </w:pPr>
    </w:p>
    <w:p w14:paraId="690E93E7" w14:textId="0FC2D03E" w:rsidR="00FE37E5" w:rsidRDefault="00FE37E5" w:rsidP="00E92389">
      <w:pPr>
        <w:pStyle w:val="Paragraphedeliste"/>
        <w:numPr>
          <w:ilvl w:val="0"/>
          <w:numId w:val="1"/>
        </w:numPr>
        <w:spacing w:after="0"/>
        <w:ind w:left="714" w:hanging="357"/>
        <w:jc w:val="both"/>
      </w:pPr>
      <w:r>
        <w:rPr>
          <w:b/>
          <w:bCs/>
          <w:color w:val="FF0000"/>
          <w:sz w:val="24"/>
          <w:szCs w:val="24"/>
        </w:rPr>
        <w:t>STATUT_AGENT</w:t>
      </w:r>
    </w:p>
    <w:p w14:paraId="6A1C0EB7" w14:textId="43A6A4ED" w:rsidR="00FE37E5" w:rsidRDefault="00FE37E5" w:rsidP="004A64EE">
      <w:pPr>
        <w:jc w:val="both"/>
      </w:pPr>
      <w:r w:rsidRPr="00FE37E5">
        <w:rPr>
          <w:noProof/>
        </w:rPr>
        <w:drawing>
          <wp:inline distT="0" distB="0" distL="0" distR="0" wp14:anchorId="6B11DF5A" wp14:editId="0C982713">
            <wp:extent cx="2534232" cy="13239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577" cy="1357068"/>
                    </a:xfrm>
                    <a:prstGeom prst="rect">
                      <a:avLst/>
                    </a:prstGeom>
                  </pic:spPr>
                </pic:pic>
              </a:graphicData>
            </a:graphic>
          </wp:inline>
        </w:drawing>
      </w:r>
    </w:p>
    <w:sectPr w:rsidR="00FE37E5">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0F02" w14:textId="77777777" w:rsidR="00C17FCC" w:rsidRDefault="00C17FCC" w:rsidP="00C17FCC">
      <w:pPr>
        <w:spacing w:after="0" w:line="240" w:lineRule="auto"/>
      </w:pPr>
      <w:r>
        <w:separator/>
      </w:r>
    </w:p>
  </w:endnote>
  <w:endnote w:type="continuationSeparator" w:id="0">
    <w:p w14:paraId="19C9C02C" w14:textId="77777777" w:rsidR="00C17FCC" w:rsidRDefault="00C17FCC" w:rsidP="00C1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0E13" w14:textId="6969FDE6" w:rsidR="00C17FCC" w:rsidRDefault="00C17FCC">
    <w:pPr>
      <w:pStyle w:val="Pieddepage"/>
    </w:pPr>
    <w:r>
      <w:rPr>
        <w:noProof/>
      </w:rPr>
      <mc:AlternateContent>
        <mc:Choice Requires="wps">
          <w:drawing>
            <wp:anchor distT="0" distB="0" distL="114300" distR="114300" simplePos="0" relativeHeight="251659264" behindDoc="0" locked="0" layoutInCell="0" allowOverlap="1" wp14:anchorId="223E573E" wp14:editId="4A5B1ACD">
              <wp:simplePos x="0" y="0"/>
              <wp:positionH relativeFrom="page">
                <wp:posOffset>0</wp:posOffset>
              </wp:positionH>
              <wp:positionV relativeFrom="page">
                <wp:posOffset>10227945</wp:posOffset>
              </wp:positionV>
              <wp:extent cx="7560310" cy="273050"/>
              <wp:effectExtent l="0" t="0" r="0" b="12700"/>
              <wp:wrapNone/>
              <wp:docPr id="1" name="MSIPCMcfec4f03bd6492f633b18f06" descr="{&quot;HashCode&quot;:9679731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A48339" w14:textId="21EAF516" w:rsidR="00C17FCC" w:rsidRPr="00C17FCC" w:rsidRDefault="00C17FCC" w:rsidP="00C17FCC">
                          <w:pPr>
                            <w:spacing w:after="0"/>
                            <w:rPr>
                              <w:rFonts w:ascii="Calibri" w:hAnsi="Calibri" w:cs="Calibri"/>
                              <w:color w:val="A80000"/>
                              <w:sz w:val="20"/>
                            </w:rPr>
                          </w:pPr>
                          <w:r w:rsidRPr="00C17FCC">
                            <w:rPr>
                              <w:rFonts w:ascii="Calibri" w:hAnsi="Calibri" w:cs="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3E573E" id="_x0000_t202" coordsize="21600,21600" o:spt="202" path="m,l,21600r21600,l21600,xe">
              <v:stroke joinstyle="miter"/>
              <v:path gradientshapeok="t" o:connecttype="rect"/>
            </v:shapetype>
            <v:shape id="MSIPCMcfec4f03bd6492f633b18f06" o:spid="_x0000_s1026" type="#_x0000_t202" alt="{&quot;HashCode&quot;:96797310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0DA48339" w14:textId="21EAF516" w:rsidR="00C17FCC" w:rsidRPr="00C17FCC" w:rsidRDefault="00C17FCC" w:rsidP="00C17FCC">
                    <w:pPr>
                      <w:spacing w:after="0"/>
                      <w:rPr>
                        <w:rFonts w:ascii="Calibri" w:hAnsi="Calibri" w:cs="Calibri"/>
                        <w:color w:val="A80000"/>
                        <w:sz w:val="20"/>
                      </w:rPr>
                    </w:pPr>
                    <w:r w:rsidRPr="00C17FCC">
                      <w:rPr>
                        <w:rFonts w:ascii="Calibri" w:hAnsi="Calibri" w:cs="Calibri"/>
                        <w:color w:val="A80000"/>
                        <w:sz w:val="20"/>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5CD7" w14:textId="77777777" w:rsidR="00C17FCC" w:rsidRDefault="00C17FCC" w:rsidP="00C17FCC">
      <w:pPr>
        <w:spacing w:after="0" w:line="240" w:lineRule="auto"/>
      </w:pPr>
      <w:r>
        <w:separator/>
      </w:r>
    </w:p>
  </w:footnote>
  <w:footnote w:type="continuationSeparator" w:id="0">
    <w:p w14:paraId="7CE66364" w14:textId="77777777" w:rsidR="00C17FCC" w:rsidRDefault="00C17FCC" w:rsidP="00C17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791B"/>
    <w:multiLevelType w:val="hybridMultilevel"/>
    <w:tmpl w:val="2A78C7DA"/>
    <w:lvl w:ilvl="0" w:tplc="9162FED0">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4137E"/>
    <w:multiLevelType w:val="hybridMultilevel"/>
    <w:tmpl w:val="42C8867C"/>
    <w:lvl w:ilvl="0" w:tplc="935EFBB6">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9E51D2"/>
    <w:multiLevelType w:val="hybridMultilevel"/>
    <w:tmpl w:val="043E2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CC"/>
    <w:rsid w:val="000463B7"/>
    <w:rsid w:val="0008750B"/>
    <w:rsid w:val="00095254"/>
    <w:rsid w:val="00134E0F"/>
    <w:rsid w:val="00182288"/>
    <w:rsid w:val="00341F69"/>
    <w:rsid w:val="00345B27"/>
    <w:rsid w:val="00354F14"/>
    <w:rsid w:val="00417C82"/>
    <w:rsid w:val="00425F5B"/>
    <w:rsid w:val="004A64EE"/>
    <w:rsid w:val="00544752"/>
    <w:rsid w:val="00577ED7"/>
    <w:rsid w:val="00584723"/>
    <w:rsid w:val="005B3638"/>
    <w:rsid w:val="005B49F8"/>
    <w:rsid w:val="005F6E46"/>
    <w:rsid w:val="00631B06"/>
    <w:rsid w:val="006620C6"/>
    <w:rsid w:val="0067202C"/>
    <w:rsid w:val="006C73B9"/>
    <w:rsid w:val="007212BB"/>
    <w:rsid w:val="00757C02"/>
    <w:rsid w:val="0077135E"/>
    <w:rsid w:val="0080348B"/>
    <w:rsid w:val="008269F2"/>
    <w:rsid w:val="00905242"/>
    <w:rsid w:val="00990F27"/>
    <w:rsid w:val="00A32074"/>
    <w:rsid w:val="00A3562E"/>
    <w:rsid w:val="00A918F0"/>
    <w:rsid w:val="00B01C29"/>
    <w:rsid w:val="00B24C90"/>
    <w:rsid w:val="00C17FCC"/>
    <w:rsid w:val="00D93C06"/>
    <w:rsid w:val="00DC0164"/>
    <w:rsid w:val="00DD515F"/>
    <w:rsid w:val="00DE0765"/>
    <w:rsid w:val="00E76803"/>
    <w:rsid w:val="00E8227A"/>
    <w:rsid w:val="00E82E55"/>
    <w:rsid w:val="00E92389"/>
    <w:rsid w:val="00EB6052"/>
    <w:rsid w:val="00F543F3"/>
    <w:rsid w:val="00FC1BE3"/>
    <w:rsid w:val="00FD62D7"/>
    <w:rsid w:val="00FE3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D21A"/>
  <w15:chartTrackingRefBased/>
  <w15:docId w15:val="{69B38145-092F-4810-BECB-A01D732A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7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7FCC"/>
    <w:pPr>
      <w:tabs>
        <w:tab w:val="center" w:pos="4536"/>
        <w:tab w:val="right" w:pos="9072"/>
      </w:tabs>
      <w:spacing w:after="0" w:line="240" w:lineRule="auto"/>
    </w:pPr>
  </w:style>
  <w:style w:type="character" w:customStyle="1" w:styleId="En-tteCar">
    <w:name w:val="En-tête Car"/>
    <w:basedOn w:val="Policepardfaut"/>
    <w:link w:val="En-tte"/>
    <w:uiPriority w:val="99"/>
    <w:rsid w:val="00C17FCC"/>
  </w:style>
  <w:style w:type="paragraph" w:styleId="Pieddepage">
    <w:name w:val="footer"/>
    <w:basedOn w:val="Normal"/>
    <w:link w:val="PieddepageCar"/>
    <w:uiPriority w:val="99"/>
    <w:unhideWhenUsed/>
    <w:rsid w:val="00C17F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FCC"/>
  </w:style>
  <w:style w:type="character" w:customStyle="1" w:styleId="Titre1Car">
    <w:name w:val="Titre 1 Car"/>
    <w:basedOn w:val="Policepardfaut"/>
    <w:link w:val="Titre1"/>
    <w:uiPriority w:val="9"/>
    <w:rsid w:val="00757C0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5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Joubert, Pierrick</dc:creator>
  <cp:keywords/>
  <dc:description/>
  <cp:lastModifiedBy>DE BAILLIENCOURT, Segolene</cp:lastModifiedBy>
  <cp:revision>33</cp:revision>
  <dcterms:created xsi:type="dcterms:W3CDTF">2022-12-30T15:07:00Z</dcterms:created>
  <dcterms:modified xsi:type="dcterms:W3CDTF">2023-01-09T17:28:00Z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87ec98-8aff-418c-9455-dc857e1ea7dc_Enabled">
    <vt:lpwstr>true</vt:lpwstr>
  </property>
  <property fmtid="{D5CDD505-2E9C-101B-9397-08002B2CF9AE}" pid="3" name="MSIP_Label_1387ec98-8aff-418c-9455-dc857e1ea7dc_SetDate">
    <vt:lpwstr>2023-01-09T17:28:05Z</vt:lpwstr>
  </property>
  <property fmtid="{D5CDD505-2E9C-101B-9397-08002B2CF9AE}" pid="4" name="MSIP_Label_1387ec98-8aff-418c-9455-dc857e1ea7dc_Method">
    <vt:lpwstr>Standard</vt:lpwstr>
  </property>
  <property fmtid="{D5CDD505-2E9C-101B-9397-08002B2CF9AE}" pid="5" name="MSIP_Label_1387ec98-8aff-418c-9455-dc857e1ea7dc_Name">
    <vt:lpwstr>1387ec98-8aff-418c-9455-dc857e1ea7dc</vt:lpwstr>
  </property>
  <property fmtid="{D5CDD505-2E9C-101B-9397-08002B2CF9AE}" pid="6" name="MSIP_Label_1387ec98-8aff-418c-9455-dc857e1ea7dc_SiteId">
    <vt:lpwstr>6eab6365-8194-49c6-a4d0-e2d1a0fbeb74</vt:lpwstr>
  </property>
  <property fmtid="{D5CDD505-2E9C-101B-9397-08002B2CF9AE}" pid="7" name="MSIP_Label_1387ec98-8aff-418c-9455-dc857e1ea7dc_ActionId">
    <vt:lpwstr>e6722032-c445-4cca-8e9b-6e023cea5987</vt:lpwstr>
  </property>
  <property fmtid="{D5CDD505-2E9C-101B-9397-08002B2CF9AE}" pid="8" name="MSIP_Label_1387ec98-8aff-418c-9455-dc857e1ea7dc_ContentBits">
    <vt:lpwstr>2</vt:lpwstr>
  </property>
</Properties>
</file>