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Control Plane for Intent in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and control plane for intent. It decides whether clarification is worth the cost before the model commits to an answer or an agent action.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"Do you mean propaganda as in biased or one-sided political messaging intended to influence opinion?",</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r>
        <w:t>The human-behavior risk is that the repair funnel often never happens. A user may leave after the first answer, accept the wrong semantic frame, or screenshot the first answer as evidence for a contested claim. The Elon Musk propaganda example is a compact case: the answer changes depending on whether propaganda means biased or one-sided political messaging intended to influence opinion, coordinated deceptive messaging, or deliberate misinformation. The compression-optimized clarifier is a short yes/no gate: Do you mean propaganda as in biased or one-sided political messaging intended to influence opinion?</w:t>
      </w:r>
    </w:p>
    <w:p>
      <w:r>
        <w:t>ICA should therefore track early-exit silent-failure risk and screenshot misuse risk alongside ordinary retry metrics. The goal is to prevent a screenshotable first answer from becoming social proof for a meaning the user and model never agreed on.</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benchmark now also distinguishes early-exit silent-failure risk from screenshot misuse risk. Early-exit risk means the user plausibly leaves before the ambiguous term is exposed. Screenshot misuse risk means the first answer can be quote-mined as evidence for a contested, misleading, or unsafe interpretation.</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Future extension: coding agents</w:t>
      </w:r>
    </w:p>
    <w:p>
      <w:r>
        <w:t>The same control-layer idea may apply to coding agents. In chat, ICA prevents the model from answering before intent is resolved. In agents, ICA can preserve the original task intent while filtering tool-output noise, failed attempts, and conversational drift across many steps.</w:t>
      </w:r>
    </w:p>
    <w:p>
      <w:r>
        <w:t>In that framing, ICA becomes a control plane for agentic systems. It does not replace the model's reasoning or tool use; it governs the state the model should reason over: original goal, verified facts, current constraints, failed paths, and the next useful action.</w:t>
      </w:r>
    </w:p>
    <w:p>
      <w:r>
        <w:t>For an agent, the compressed state packet might include the original user goal, current verified state, known constraints, failed attempts to avoid, and next best action. That packet can keep the model focused on the task state that matters rather than the full conversational residue.</w:t>
      </w:r>
    </w:p>
    <w:p>
      <w:r>
        <w:t>This repository does not yet benchmark coding-agent performance. The extension is a natural, testable bridge from clarification-first chat to intent-preserving agent orchestration, with metrics such as tokens to green tests, repeated mistakes, time to resolution, final pass rate, unnecessary code churn, and preservation of original intent. If validated on coding-agent benchmarks, this could improve agent unit economics by reducing repeated context, failed loops, and intent drift.</w:t>
      </w:r>
    </w:p>
    <w:p>
      <w:pPr>
        <w:pStyle w:val="ICAHeading1"/>
      </w:pPr>
      <w:r>
        <w:t>12.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13.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Control plane for intent in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Control Plane for Intent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