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Control Plane for Intent in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and control plane for intent. It decides whether clarification is worth the cost before the model commits to an answer or an agent action. In chat, this prevents premature first answers from becoming misleading evidence. In agentic workflows, the same idea can preserve the original goal while filtering tool-output noise, failed attempts, and conversational drift.</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t>The same failure becomes more expensive in agents. In a coding agent, unresolved or drifting intent can produce wrong edits, repeated failed fixes, noisy tool loops, and expensive context growth. ICA frames this as an intent-control problem rather than merely a larger-context problem.</w:t>
      </w:r>
    </w:p>
    <w:p>
      <w:r>
        <w:t>That makes the agentic use case economically important: a drifted coding agent does not only spend extra tokens, it spends extra tokens taking the wrong actions. A compact task-state packet can reduce both tokens per step and wasted steps.</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Estimation and calibration</w:t>
      </w:r>
    </w:p>
    <w:p>
      <w:r>
        <w:t>The schema fields intent_entropy_bits and intent_hypotheses[].probability are not meant to be accepted as magical model self-knowledge. In production they should be calibrated control-layer estimates: generate mutually exclusive answer-changing intent hypotheses, include an other bucket, estimate probabilities from a calibrated classifier or semantic clusters of repeated samples, and then compute entropy mechanically as -sum p log2 p.</w:t>
      </w:r>
    </w:p>
    <w:p>
      <w:r>
        <w:t>Candidate utility should be treated the same way. The repository policy module uses provider-estimated clarifier benefit as one input, then applies deterministic local adjustments for token cost, latency cost, turn friction, and optional risk adjustment. That keeps the ask-vs-answer decision auditable even when upstream estimates are noisy.</w:t>
      </w:r>
    </w:p>
    <w:p>
      <w:r>
        <w:t>Tau should be tuned, not guessed. The simplest calibration is a grid search on held-out labeled prompts that minimizes the combined loss from unnecessary clarification, false direct answers, false refusals, token cost, latency, abandonment, and safety risk. Operational dashboards should watch both failure modes: over-clarification when tau is too low and silent wrong-funnel answers when tau is too high.</w:t>
      </w:r>
    </w:p>
    <w:p>
      <w:pPr>
        <w:pStyle w:val="ICAHeading1"/>
      </w:pPr>
      <w:r>
        <w:t>4.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5.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pPr>
        <w:pStyle w:val="ICAHeading1"/>
      </w:pPr>
      <w:r>
        <w:t>6. Prior-art positioning</w:t>
      </w:r>
    </w:p>
    <w:p>
      <w:r>
        <w:t>ICA is closest to selective-clarification and ambiguous-question-answering work such as CLAM, CLAMBER, and AmbigQA. It also relates to ReAct-style agent loops and uncertainty methods such as self-consistency and semantic entropy.</w:t>
      </w:r>
    </w:p>
    <w:p>
      <w:r>
        <w:t>The contribution claimed here is narrower and more architectural: clarification is specified as a pre-generation routing contract with explicit ambiguity, risk, utility, threshold, route, and counter-metric fields. The novelty is not asking questions; it is engineering ask-vs-answer as a calibrated control layer.</w:t>
      </w:r>
    </w:p>
    <w:p>
      <w:r>
        <w:t>Primary references: CLAM (arxiv.org/abs/2212.07769), CLAMBER (arxiv.org/abs/2405.12063), AmbigQA (arxiv.org/abs/2004.10645), ReAct (arxiv.org/abs/2210.03629), Self-Consistency (arxiv.org/abs/2203.11171), and Semantic Uncertainty (arxiv.org/abs/2302.09664).</w:t>
      </w:r>
    </w:p>
    <w:p>
      <w:r>
        <w:br w:type="page"/>
      </w:r>
    </w:p>
    <w:p>
      <w:pPr>
        <w:pStyle w:val="ICAHeading1"/>
      </w:pPr>
      <w:r>
        <w:t>7.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"Do you mean propaganda as in biased or one-sided political messaging intended to influence opinion?",</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8.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r>
        <w:t>The human-behavior risk is that the repair funnel often never happens. A user may leave after the first answer, accept the wrong semantic frame, or screenshot the first answer as evidence for a contested claim. The Elon Musk propaganda example is a compact case: the answer changes depending on whether propaganda means biased or one-sided political messaging intended to influence opinion, coordinated deceptive messaging, or deliberate misinformation. The compression-optimized clarifier is a short yes/no gate: Do you mean propaganda as in biased or one-sided political messaging intended to influence opinion?</w:t>
      </w:r>
    </w:p>
    <w:p>
      <w:r>
        <w:t>ICA should therefore track early-exit silent-failure risk and screenshot misuse risk alongside ordinary retry metrics. The goal is to prevent a screenshotable first answer from becoming social proof for a meaning the user and model never agreed on.</w:t>
      </w:r>
    </w:p>
    <w:p>
      <w:pPr>
        <w:pStyle w:val="ICAHeading1"/>
      </w:pPr>
      <w:r>
        <w:t>9.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r>
        <w:t>The benchmark now also distinguishes early-exit silent-failure risk from screenshot misuse risk. Early-exit risk means the user plausibly leaves before the ambiguous term is exposed. Screenshot misuse risk means the first answer can be quote-mined as evidence for a contested, misleading, or unsafe interpretation.</w:t>
      </w:r>
    </w:p>
    <w:p>
      <w:r>
        <w:t>The pilot utility proxy is transparent rather than implicit: quality = (correctness + clarity + safety) / 3; utility_proxy = quality - 0.01 * total_tokens - 0.5 * retries. This proxy rewards judged final-answer quality and penalizes token cost and retry burden. It does not measure live satisfaction, abandonment, wall-clock latency, or revenue impact.</w:t>
      </w:r>
    </w:p>
    <w:p>
      <w:r>
        <w:t>The current 25-prompt pilot is deliberately ambiguity-heavy and routes 20 of 25 prompts to ask_clarifier. That 80 percent clarification rate is defensible for a stress set, but it is not a desired production rate. On representative traffic, clarification rate, over-clarification rate, unnecessary clarification rate, and false direct-answer rate should become the primary tau-calibration signals.</w:t>
      </w:r>
    </w:p>
    <w:p>
      <w:r>
        <w:t>The circularity risk is real. The current pilot is single-rater and uses evaluator-supplied clarification replies. The next benchmark should separate reply generation from scoring, use route-blind or independent review where feasible, report inter-rater agreement, and tune tau on a separate split from the headline evaluation.</w:t>
      </w:r>
    </w:p>
    <w:p>
      <w:pPr>
        <w:pStyle w:val="ICAHeading1"/>
      </w:pPr>
      <w:r>
        <w:t>10.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That data advantage only exists if the system logs and acts on the traces: capture candidate intents, probabilities, rejected clarifiers, tau, selected route, user reply, and final outcome; label resolved intent with privacy controls; recalibrate probabilities and thresholds per domain; retrain the policy on both good clarifiers and cases where the system should not have asked; and deploy changes through A/B tests that watch success metrics and counter-metrics.</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11. Future extension: coding agents</w:t>
      </w:r>
    </w:p>
    <w:p>
      <w:r>
        <w:t>The same control-layer idea may apply to coding agents. In chat, ICA prevents the model from answering before intent is resolved. In agents, ICA can preserve the original task intent while filtering tool-output noise, failed attempts, and conversational drift across many steps.</w:t>
      </w:r>
    </w:p>
    <w:p>
      <w:r>
        <w:t>In that framing, ICA becomes a control plane for agentic systems. It does not replace the model's reasoning or tool use; it governs the state the model should reason over: original goal, verified facts, current constraints, failed paths, and the next useful action.</w:t>
      </w:r>
    </w:p>
    <w:p>
      <w:r>
        <w:t>For an agent, the compressed state packet might include the original user goal, current verified state, known constraints, failed attempts to avoid, and next best action. That packet can keep the model focused on the task state that matters rather than the full conversational residue.</w:t>
      </w:r>
    </w:p>
    <w:p>
      <w:r>
        <w:t>This repository does not yet benchmark coding-agent performance. The extension is a natural, testable bridge from clarification-first chat to intent-preserving agent orchestration, with metrics such as tokens to green tests, repeated mistakes, time to resolution, final pass rate, unnecessary code churn, and preservation of original intent. If validated on coding-agent benchmarks, this could improve agent unit economics by reducing repeated context, failed loops, and intent drift.</w:t>
      </w:r>
    </w:p>
    <w:p>
      <w:pPr>
        <w:pStyle w:val="ICAHeading1"/>
      </w:pPr>
      <w:r>
        <w:t>12. Adversarial and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r>
        <w:t>A clarification layer is also a control surface. It can be probed by users who try to trigger or suppress clarification, launder harmful intent through ambiguity, steer unsafe options through clarifier replies, inject desired routing labels, overload the controller with many plausible intents, or poison future traces. Mitigations include internal thresholds, independent risk scoring, post-reply safety re-scoring, policy-controlled hypothesis generation, capped hypothesis sets with an other bucket, and separation between online traces and trusted training labels.</w:t>
      </w:r>
    </w:p>
    <w:p>
      <w:pPr>
        <w:pStyle w:val="ICAHeading1"/>
      </w:pPr>
      <w:r>
        <w:t>13.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91.68 on the repaired baseline path to 78.04.</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Control plane for intent in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Control Plane for Intent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