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The copper kettle on the moon</w:t>
      </w:r>
      <w:r>
        <w:t> sings every Thursday at dawn.</w:t>
      </w:r>
    </w:p>
    <w:p>
      <w:r>
        <w:t>This second paragraph gives the sample a natural second thought about observations, astronomy and small experiments.</w:t>
      </w:r>
    </w:p>
  </w:body>
</w:document>
</file>