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9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9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love of cooking is a creative outlet and a break from the administrative demands of my career in HR management — a space for relaxation, self-expression, and showing love to my family. Cooking and dining also help me organise and maintain social connections, from family dinners to events built around fine food and wine.</w:t>
      </w:r>
    </w:p>
    <w:p>
      <w:pPr>
        <w:spacing w:after="240"/>
      </w:pPr>
      <w:r>
        <w:rPr>
          <w:rFonts w:ascii="Georgia" w:cs="Georgia" w:eastAsia="Georgia" w:hAnsi="Georgia"/>
          <w:sz w:val="24"/>
          <w:szCs w:val="24"/>
        </w:rPr>
        <w:t xml:space="preserve">This collection gathers the dishes Natasha and Bianca grew up on, alongside my own creations and favourites drawn from my personal cookbook library.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d171f83d0e2c7a711e64ca401817920e6b91188.pn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bd16106df13e8fca1385609f2391a4ad24e0aae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2026-07-27T04:41:54.910Z</dcterms:created>
  <dcterms:modified xsi:type="dcterms:W3CDTF">2026-07-27T04:41:54.910Z</dcterms:modified>
</cp:coreProperties>
</file>

<file path=docProps/custom.xml><?xml version="1.0" encoding="utf-8"?>
<Properties xmlns="http://schemas.openxmlformats.org/officeDocument/2006/custom-properties" xmlns:vt="http://schemas.openxmlformats.org/officeDocument/2006/docPropsVTypes"/>
</file>