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ind w:firstLine="72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Федеральное государственное автономное образовательное учреждение высшего образования</w:t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 Национальный исследовательский университет ИТМО</w:t>
      </w:r>
    </w:p>
    <w:p w14:paraId="00000003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04">
      <w:pPr>
        <w:spacing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Факультет программной инженерии и компьютерной техники</w:t>
      </w:r>
    </w:p>
    <w:p w14:paraId="00000005">
      <w:pPr>
        <w:spacing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Направление подготовки 09.03.04 Программная инженерия</w:t>
      </w:r>
    </w:p>
    <w:p w14:paraId="00000006">
      <w:pPr>
        <w:spacing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Дисциплина «</w:t>
      </w:r>
      <w:r>
        <w:rPr>
          <w:rFonts w:ascii="Times New Roman" w:hAnsi="Times New Roman" w:eastAsia="Times New Roman" w:cs="Times New Roman"/>
          <w:i/>
          <w:sz w:val="32"/>
          <w:szCs w:val="32"/>
          <w:rtl w:val="0"/>
        </w:rPr>
        <w:t>Тестирование программного обеспечения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»</w:t>
      </w:r>
    </w:p>
    <w:p w14:paraId="0000000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0000008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0000009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Отчёт</w:t>
      </w:r>
    </w:p>
    <w:p w14:paraId="0000000A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По лабораторной работе №1</w:t>
      </w:r>
    </w:p>
    <w:p w14:paraId="0000000B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0000000C">
      <w:pPr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 xml:space="preserve">Вариант: </w:t>
      </w:r>
    </w:p>
    <w:p w14:paraId="0000000D">
      <w:pPr>
        <w:rPr>
          <w:rFonts w:ascii="Times New Roman" w:hAnsi="Times New Roman" w:eastAsia="Times New Roman" w:cs="Times New Roman"/>
          <w:sz w:val="32"/>
          <w:szCs w:val="32"/>
        </w:rPr>
      </w:pPr>
      <w:bookmarkStart w:id="1" w:name="_GoBack"/>
      <w:bookmarkEnd w:id="1"/>
    </w:p>
    <w:p w14:paraId="0000000E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0F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10">
      <w:pPr>
        <w:ind w:left="6372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Студент:</w:t>
      </w:r>
    </w:p>
    <w:p w14:paraId="00000011">
      <w:pPr>
        <w:ind w:left="6372" w:firstLine="0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  <w:lang w:val="ru-RU"/>
        </w:rPr>
        <w:t>Саранча</w:t>
      </w:r>
      <w:r>
        <w:rPr>
          <w:rFonts w:hint="default" w:ascii="Times New Roman" w:hAnsi="Times New Roman" w:eastAsia="Times New Roman" w:cs="Times New Roman"/>
          <w:i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  <w:lang w:val="ru-RU"/>
        </w:rPr>
        <w:t>П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  <w:lang w:val="ru-RU"/>
        </w:rPr>
        <w:t>А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.</w:t>
      </w:r>
    </w:p>
    <w:p w14:paraId="00000012">
      <w:pPr>
        <w:ind w:left="6372" w:firstLine="0"/>
        <w:rPr>
          <w:rFonts w:hint="default" w:ascii="Times New Roman" w:hAnsi="Times New Roman" w:eastAsia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группа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 xml:space="preserve"> P33</w:t>
      </w:r>
      <w:r>
        <w:rPr>
          <w:rFonts w:hint="default" w:ascii="Times New Roman" w:hAnsi="Times New Roman" w:eastAsia="Times New Roman" w:cs="Times New Roman"/>
          <w:i/>
          <w:sz w:val="28"/>
          <w:szCs w:val="28"/>
          <w:rtl w:val="0"/>
          <w:lang w:val="ru-RU"/>
        </w:rPr>
        <w:t>09</w:t>
      </w:r>
    </w:p>
    <w:p w14:paraId="00000013">
      <w:pPr>
        <w:ind w:left="6372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14">
      <w:pPr>
        <w:ind w:left="6372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Преподаватель:</w:t>
      </w:r>
    </w:p>
    <w:p w14:paraId="00000015">
      <w:pPr>
        <w:ind w:left="6372" w:firstLine="0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  <w:lang w:val="ru-RU"/>
        </w:rPr>
        <w:t>Наумова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  <w:lang w:val="ru-RU"/>
        </w:rPr>
        <w:t>Н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. А.</w:t>
      </w:r>
    </w:p>
    <w:p w14:paraId="00000016">
      <w:pPr>
        <w:rPr>
          <w:rFonts w:ascii="Times New Roman" w:hAnsi="Times New Roman" w:eastAsia="Times New Roman" w:cs="Times New Roman"/>
        </w:rPr>
      </w:pPr>
    </w:p>
    <w:p w14:paraId="0000001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A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г. Санкт-Петербург,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г.</w:t>
      </w:r>
    </w:p>
    <w:p w14:paraId="0000001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D">
      <w:pPr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0000001E">
      <w:pPr>
        <w:spacing w:line="4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Описание задания</w:t>
      </w:r>
    </w:p>
    <w:p w14:paraId="0000001F">
      <w:pPr>
        <w:numPr>
          <w:ilvl w:val="0"/>
          <w:numId w:val="1"/>
        </w:numPr>
        <w:shd w:val="clear" w:fill="FFFFFF"/>
        <w:spacing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00000020">
      <w:pPr>
        <w:numPr>
          <w:ilvl w:val="0"/>
          <w:numId w:val="1"/>
        </w:numPr>
        <w:shd w:val="clear" w:fill="FFFFFF"/>
        <w:spacing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00000021">
      <w:pPr>
        <w:numPr>
          <w:ilvl w:val="0"/>
          <w:numId w:val="1"/>
        </w:numPr>
        <w:shd w:val="clear" w:fill="FFFFFF"/>
        <w:spacing w:after="28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00000022">
      <w:pPr>
        <w:shd w:val="clear" w:fill="FFFFFF"/>
        <w:spacing w:after="28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Вариант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5199</w:t>
      </w:r>
    </w:p>
    <w:p w14:paraId="00000023">
      <w:pPr>
        <w:numPr>
          <w:ilvl w:val="0"/>
          <w:numId w:val="2"/>
        </w:numPr>
        <w:shd w:val="clear" w:fill="FFFFFF"/>
        <w:spacing w:after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Функция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arcsin(x)</w:t>
      </w:r>
    </w:p>
    <w:p w14:paraId="00000024">
      <w:pPr>
        <w:numPr>
          <w:ilvl w:val="0"/>
          <w:numId w:val="2"/>
        </w:numPr>
        <w:shd w:val="clear" w:fill="FFFFFF"/>
        <w:spacing w:after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Программный модуль для работы с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красно-черным деревом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</w:t>
      </w:r>
      <w:r>
        <w:fldChar w:fldCharType="begin"/>
      </w:r>
      <w:r>
        <w:instrText xml:space="preserve"> HYPERLINK "http://www.cs.usfca.edu/~galles/visualization/RedBlack.html"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563C1"/>
          <w:sz w:val="28"/>
          <w:szCs w:val="28"/>
          <w:u w:val="single"/>
          <w:rtl w:val="0"/>
        </w:rPr>
        <w:t>http://www.cs.usfca.edu/~galles/visualization/RedBlack.html</w:t>
      </w:r>
      <w:r>
        <w:rPr>
          <w:rFonts w:ascii="Times New Roman" w:hAnsi="Times New Roman" w:eastAsia="Times New Roman" w:cs="Times New Roman"/>
          <w:color w:val="0563C1"/>
          <w:sz w:val="28"/>
          <w:szCs w:val="28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</w:t>
      </w:r>
    </w:p>
    <w:p w14:paraId="00000025">
      <w:pPr>
        <w:numPr>
          <w:ilvl w:val="0"/>
          <w:numId w:val="2"/>
        </w:numPr>
        <w:shd w:val="clear" w:fill="FFFFFF"/>
        <w:spacing w:after="28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Описание предметной области:</w:t>
      </w:r>
    </w:p>
    <w:tbl>
      <w:tblPr>
        <w:tblStyle w:val="13"/>
        <w:tblW w:w="93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3C053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6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Триллиан в отчаянии схватила его за руку и потянула к двери, которую Форд и Зафод пытались открыть, но Артур был, как труп -- казалось, надвигающиеся воздухоплавающие грызуны загипнотизировали его.</w:t>
            </w:r>
          </w:p>
        </w:tc>
      </w:tr>
    </w:tbl>
    <w:p w14:paraId="00000027">
      <w:pPr>
        <w:rPr>
          <w:rFonts w:ascii="Times New Roman" w:hAnsi="Times New Roman" w:eastAsia="Times New Roman" w:cs="Times New Roman"/>
        </w:rPr>
      </w:pPr>
    </w:p>
    <w:p w14:paraId="00000028">
      <w:pPr>
        <w:rPr>
          <w:rFonts w:ascii="Times New Roman" w:hAnsi="Times New Roman" w:eastAsia="Times New Roman" w:cs="Times New Roman"/>
        </w:rPr>
      </w:pPr>
      <w:r>
        <w:br w:type="page"/>
      </w:r>
    </w:p>
    <w:p w14:paraId="00000029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Выполнение</w:t>
      </w:r>
    </w:p>
    <w:p w14:paraId="0000002A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Исходный код</w:t>
      </w: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 xml:space="preserve"> </w:t>
      </w:r>
    </w:p>
    <w:p w14:paraId="0000002B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drawing>
          <wp:inline distT="0" distB="0" distL="0" distR="0">
            <wp:extent cx="1866900" cy="1866900"/>
            <wp:effectExtent l="0" t="0" r="0" b="0"/>
            <wp:docPr id="8" name="image3.gif" descr="C:\Users\maxim\AppData\Local\Microsoft\Windows\INetCache\Content.Word\qr-cod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gif" descr="C:\Users\maxim\AppData\Local\Microsoft\Windows\INetCache\Content.Word\qr-code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rPr>
          <w:rFonts w:ascii="Times New Roman" w:hAnsi="Times New Roman" w:eastAsia="Times New Roman" w:cs="Times New Roman"/>
          <w:sz w:val="32"/>
          <w:szCs w:val="32"/>
        </w:rPr>
      </w:pPr>
      <w:r>
        <w:fldChar w:fldCharType="begin"/>
      </w:r>
      <w:r>
        <w:instrText xml:space="preserve"> HYPERLINK "https://github.com/maxbarsukov/itmo/tree/master/6%20%D1%82%D0%BF%D0%BE/%D0%BB%D0%B0%D0%B1%D0%BE%D1%80%D0%B0%D1%82%D0%BE%D1%80%D0%BD%D1%8B%D0%B5/lab1"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563C1"/>
          <w:sz w:val="32"/>
          <w:szCs w:val="32"/>
          <w:u w:val="single"/>
          <w:rtl w:val="0"/>
        </w:rPr>
        <w:t>https://github.com/maxbarsukov/itmo/tree/master/6%20тпо/лабораторные/lab1</w:t>
      </w:r>
      <w:r>
        <w:rPr>
          <w:rFonts w:ascii="Times New Roman" w:hAnsi="Times New Roman" w:eastAsia="Times New Roman" w:cs="Times New Roman"/>
          <w:color w:val="0563C1"/>
          <w:sz w:val="32"/>
          <w:szCs w:val="32"/>
          <w:u w:val="single"/>
          <w:rtl w:val="0"/>
        </w:rPr>
        <w:fldChar w:fldCharType="end"/>
      </w:r>
    </w:p>
    <w:p w14:paraId="0000002D">
      <w:pPr>
        <w:rPr>
          <w:rFonts w:ascii="Times New Roman" w:hAnsi="Times New Roman" w:eastAsia="Times New Roman" w:cs="Times New Roman"/>
          <w:sz w:val="32"/>
          <w:szCs w:val="32"/>
        </w:rPr>
      </w:pPr>
      <w:r>
        <w:br w:type="page"/>
      </w:r>
    </w:p>
    <w:p w14:paraId="0000002E">
      <w:pPr>
        <w:rPr>
          <w:rFonts w:ascii="Times New Roman" w:hAnsi="Times New Roman" w:eastAsia="Times New Roman" w:cs="Times New Roman"/>
          <w:i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 xml:space="preserve">Задание 1: </w:t>
      </w:r>
      <w:r>
        <w:rPr>
          <w:rFonts w:ascii="Times New Roman" w:hAnsi="Times New Roman" w:eastAsia="Times New Roman" w:cs="Times New Roman"/>
          <w:i/>
          <w:sz w:val="30"/>
          <w:szCs w:val="30"/>
          <w:rtl w:val="0"/>
        </w:rPr>
        <w:t>arcsin(x)</w:t>
      </w:r>
    </w:p>
    <w:p w14:paraId="0000002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0000030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drawing>
          <wp:inline distT="114300" distB="114300" distL="114300" distR="114300">
            <wp:extent cx="3801110" cy="381508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1428" cy="38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jc w:val="center"/>
        <w:rPr>
          <w:rFonts w:ascii="Times New Roman" w:hAnsi="Times New Roman" w:eastAsia="Times New Roman" w:cs="Times New Roman"/>
          <w:i/>
          <w:color w:val="999999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999999"/>
          <w:sz w:val="28"/>
          <w:szCs w:val="28"/>
          <w:rtl w:val="0"/>
        </w:rPr>
        <w:t>График функции arcsin(x) с табличными значениями в точках.</w:t>
      </w:r>
    </w:p>
    <w:p w14:paraId="0000003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33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Выберем “интересные” для тестирования точки:</w:t>
      </w:r>
    </w:p>
    <w:p w14:paraId="00000034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-1.0, 1.0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граничные значения, вне которых функция не существует, в них значение должно верно определяться с достаточной точностью, несмотря на то, что в этих точках для разложения функции в степенной ряд быстро сходится и значения могут быть неточными;</w:t>
      </w:r>
    </w:p>
    <w:p w14:paraId="00000035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-999, 999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значения далеко от граничных, функция должна возвращать NaN, как эталонная реализация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Math.asin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036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-1.0000001, 1.0000001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значения близкие к граничным, должны быть верно определены как не входящие в область определения.</w:t>
      </w:r>
    </w:p>
    <w:p w14:paraId="00000037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-0.99, 0.99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близкие к граничным точки, должны верно определяться несмотря на быструю сходимость в окрестностях граничных точек;</w:t>
      </w:r>
    </w:p>
    <w:p w14:paraId="00000038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-0.5, 0.5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стандартные табличные значения далеко от угловых случаев;</w:t>
      </w:r>
    </w:p>
    <w:p w14:paraId="00000039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-0.000001, 0.000001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близкие к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точки, должны считаться верные значения, а не 0;</w:t>
      </w:r>
    </w:p>
    <w:p w14:paraId="0000003A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-0.0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должно определяться как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ровно, т.е. знак сохраняется (как в эталонной реализации);</w:t>
      </w:r>
    </w:p>
    <w:p w14:paraId="0000003B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0.0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должно определяться как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ровно, а не какое-то приближение (как в эталонной реализации);</w:t>
      </w:r>
    </w:p>
    <w:p w14:paraId="0000003C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Double.NaN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должно определяться как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NaN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(как в эталонной реализации);</w:t>
      </w:r>
    </w:p>
    <w:p w14:paraId="0000003D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Double.POSITIVE_INFINITY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должно определяться как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NaN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(так как выход за граничные значения);</w:t>
      </w:r>
    </w:p>
    <w:p w14:paraId="0000003E">
      <w:pPr>
        <w:numPr>
          <w:ilvl w:val="0"/>
          <w:numId w:val="4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Double.MIN_VALUE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должно определяться как малое double число, а не как 0.</w:t>
      </w:r>
    </w:p>
    <w:p w14:paraId="0000003F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Таблица тестовых данных для “интересных” точек:</w:t>
      </w:r>
    </w:p>
    <w:tbl>
      <w:tblPr>
        <w:tblStyle w:val="14"/>
        <w:tblW w:w="42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95"/>
        <w:gridCol w:w="1905"/>
      </w:tblGrid>
      <w:tr w14:paraId="0A20CF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x</w:t>
            </w:r>
          </w:p>
        </w:tc>
        <w:tc>
          <w:tcPr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arcsin(x)</w:t>
            </w:r>
          </w:p>
        </w:tc>
      </w:tr>
      <w:tr w14:paraId="39D22D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-1.0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-π/2</w:t>
            </w:r>
          </w:p>
        </w:tc>
      </w:tr>
      <w:tr w14:paraId="0AB6EE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-0.99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-1.5608</w:t>
            </w:r>
          </w:p>
        </w:tc>
      </w:tr>
      <w:tr w14:paraId="7B11D1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-0.5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-0.5236</w:t>
            </w:r>
          </w:p>
        </w:tc>
      </w:tr>
      <w:tr w14:paraId="243D5A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-0.000001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-0.000001</w:t>
            </w:r>
          </w:p>
        </w:tc>
      </w:tr>
      <w:tr w14:paraId="3F6B59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0.0</w:t>
            </w:r>
          </w:p>
        </w:tc>
      </w:tr>
      <w:tr w14:paraId="3031D8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0.000001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0.000001</w:t>
            </w:r>
          </w:p>
        </w:tc>
      </w:tr>
      <w:tr w14:paraId="6789BE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0.5236</w:t>
            </w:r>
          </w:p>
        </w:tc>
      </w:tr>
      <w:tr w14:paraId="32DA9F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0.99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1.5608</w:t>
            </w:r>
          </w:p>
        </w:tc>
      </w:tr>
      <w:tr w14:paraId="6A34F2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1.0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π/2</w:t>
            </w:r>
          </w:p>
        </w:tc>
      </w:tr>
      <w:tr w14:paraId="379FD6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-999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NaN</w:t>
            </w:r>
          </w:p>
        </w:tc>
      </w:tr>
      <w:tr w14:paraId="561BB8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999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NaN</w:t>
            </w:r>
          </w:p>
        </w:tc>
      </w:tr>
      <w:tr w14:paraId="0DEF77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-1.0000001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NaN</w:t>
            </w:r>
          </w:p>
        </w:tc>
      </w:tr>
      <w:tr w14:paraId="04470F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1.0000001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NaN</w:t>
            </w:r>
          </w:p>
        </w:tc>
      </w:tr>
      <w:tr w14:paraId="4B8AA1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Double.NaN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NaN</w:t>
            </w:r>
          </w:p>
        </w:tc>
      </w:tr>
      <w:tr w14:paraId="4707E6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Double.POSITIVE_INFINITY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NaN</w:t>
            </w:r>
          </w:p>
        </w:tc>
      </w:tr>
      <w:tr w14:paraId="621530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Double.MIN_VALUE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0.0000000000000002220446049250313080847263336181640625</w:t>
            </w:r>
          </w:p>
        </w:tc>
      </w:tr>
    </w:tbl>
    <w:p w14:paraId="00000062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63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Кроме этих “особенных” точек, будем также тестировать значения в промежутке [-1, 1] с разрывом 0.1, т.е. (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-1.0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-0.9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…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0.9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1.0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 и сравнивать значения нашей функцией с эталонной реализацией, чтобы проверять правильность поведения функции на всем протяжении.</w:t>
      </w:r>
    </w:p>
    <w:p w14:paraId="00000064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Также будем проводить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property-based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/fuzzy тестирование. Выберем промежуток для тестирования [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-0.999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0.999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] (числа вне промежутка можем не проверять, так как в п.1 граничные условия проверены), количество прогонов 1 000 000 (достаточно для покрытия большого числа различных точек промежутка, и тесты выполняются за адекватное время).</w:t>
      </w:r>
    </w:p>
    <w:p w14:paraId="0000006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9155" cy="21336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Тесты успешно проходятся.</w:t>
      </w:r>
    </w:p>
    <w:p w14:paraId="0000006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9155" cy="1003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Итоговое тестовое покрытие.</w:t>
      </w:r>
    </w:p>
    <w:p w14:paraId="0000006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Функция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arcsin(x)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корректно обрабатывает все тестовые случаи, включая граничные и специальные значения. Все результаты совпадают с эталонной реализацией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Math.asin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6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Функция правильно возвращает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NaN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для значений, выходящих за пределы допустимого диапазона, и сохраняет знак для нулевых значений.</w:t>
      </w:r>
    </w:p>
    <w:p w14:paraId="0000006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Быстрая сходимость функции в окрестностях граничных значений не привела к ошибкам в вычислениях, что указывает на стабильность реализации.</w:t>
      </w:r>
    </w:p>
    <w:p w14:paraId="0000006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F">
      <w:pPr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70">
      <w:pPr>
        <w:rPr>
          <w:rFonts w:ascii="Times New Roman" w:hAnsi="Times New Roman" w:eastAsia="Times New Roman" w:cs="Times New Roman"/>
          <w:i/>
          <w:sz w:val="38"/>
          <w:szCs w:val="38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 xml:space="preserve">Задание 2: </w:t>
      </w:r>
      <w:r>
        <w:rPr>
          <w:rFonts w:ascii="Times New Roman" w:hAnsi="Times New Roman" w:eastAsia="Times New Roman" w:cs="Times New Roman"/>
          <w:i/>
          <w:sz w:val="30"/>
          <w:szCs w:val="30"/>
          <w:rtl w:val="0"/>
        </w:rPr>
        <w:t>Красно-чёрное дерево</w:t>
      </w:r>
    </w:p>
    <w:p w14:paraId="00000071">
      <w:pPr>
        <w:spacing w:before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Эталонная реализация по варианту: </w:t>
      </w:r>
      <w:r>
        <w:fldChar w:fldCharType="begin"/>
      </w:r>
      <w:r>
        <w:instrText xml:space="preserve"> HYPERLINK "http://www.cs.usfca.edu/~galles/visualization/RedBlack.html"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t>http://www.cs.usfca.edu/~galles/visualization/RedBlack.html</w:t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7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Красно-чёрное дерево — это самобалансирующееся бинарное дерево поиска, которое гарантирует логарифмическую сложность операций вставки, удаления и поиска. Для обеспечения корректности работы дерева необходимо тщательно протестировать его основные операции:</w:t>
      </w:r>
    </w:p>
    <w:p w14:paraId="00000074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Вставка элемента.</w:t>
      </w:r>
    </w:p>
    <w:p w14:paraId="00000075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Удаление элемента.</w:t>
      </w:r>
    </w:p>
    <w:p w14:paraId="00000076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элемента.</w:t>
      </w:r>
    </w:p>
    <w:p w14:paraId="00000077">
      <w:pPr>
        <w:numPr>
          <w:ilvl w:val="0"/>
          <w:numId w:val="5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Проверка свойств красно-черного дерева (инвариантов).</w:t>
      </w:r>
    </w:p>
    <w:p w14:paraId="0000007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 тестирования — убедиться, что дерево корректно выполняет все операции и сохраняет свои свойства после каждой операции.</w:t>
      </w:r>
    </w:p>
    <w:p w14:paraId="0000007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Будем проверять нашу реализацию структуры данных red-black tree следующим образом:</w:t>
      </w:r>
    </w:p>
    <w:p w14:paraId="0000007B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каждого публичного метода структуры (добавление/удаление/поиск элемента  – интерфейс совпадает с эталонной реализацией) попытаемся выделить основные сценарии работы метода (то есть возможные ветвления для метода);</w:t>
      </w:r>
    </w:p>
    <w:p w14:paraId="0000007C">
      <w:pPr>
        <w:numPr>
          <w:ilvl w:val="0"/>
          <w:numId w:val="6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проверять приватные методы, мы будем как “белый ящик” – будем проверять их соответствие эталонным данным через вызов публичных методов с заданными исходными данными, которые обеспечат выполнение проверяемого участка кода/метода.</w:t>
      </w:r>
    </w:p>
    <w:p w14:paraId="0000007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тестирования красно-черного дерева используется комбинация подходов:</w:t>
      </w:r>
    </w:p>
    <w:p w14:paraId="0000007E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Покрытие кода (Code Coverage):</w:t>
      </w:r>
    </w:p>
    <w:p w14:paraId="0000007F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Убедиться, что все строки кода (включая ветви условий и циклов) выполнены хотя бы один раз.</w:t>
      </w:r>
    </w:p>
    <w:p w14:paraId="00000080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Особое внимание уделяется сложным методам, таким как балансировка после вставки и удаления.</w:t>
      </w:r>
    </w:p>
    <w:p w14:paraId="00000081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Покрытие граничных значений (Boundary Value Analysis):</w:t>
      </w:r>
    </w:p>
    <w:p w14:paraId="00000082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Тестирование вставки и удаления на граничных случаях:</w:t>
      </w:r>
    </w:p>
    <w:p w14:paraId="00000083">
      <w:pPr>
        <w:numPr>
          <w:ilvl w:val="0"/>
          <w:numId w:val="9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Вставка в пустое дерево.</w:t>
      </w:r>
    </w:p>
    <w:p w14:paraId="00000084">
      <w:pPr>
        <w:numPr>
          <w:ilvl w:val="0"/>
          <w:numId w:val="9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Удаление единственного элемента.</w:t>
      </w:r>
    </w:p>
    <w:p w14:paraId="00000085">
      <w:pPr>
        <w:numPr>
          <w:ilvl w:val="0"/>
          <w:numId w:val="9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Вставка и удаление элементов в порядке возрастания и убывания.</w:t>
      </w:r>
    </w:p>
    <w:p w14:paraId="00000086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Покрытие свойств (Property-Based Testing):</w:t>
      </w:r>
    </w:p>
    <w:p w14:paraId="00000087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Проверка инвариантов красно-черного дерева после каждой операции:</w:t>
      </w:r>
    </w:p>
    <w:p w14:paraId="00000088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Корень дерева всегда чёрный.</w:t>
      </w:r>
    </w:p>
    <w:p w14:paraId="00000089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Нет двух последовательных красных узлов.</w:t>
      </w:r>
    </w:p>
    <w:p w14:paraId="0000008A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пути от корня до листьев содержат одинаковое количество чёрных узлов (чёрная высота).</w:t>
      </w:r>
    </w:p>
    <w:p w14:paraId="0000008B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Покрытие сценариев использования (Scenario-Based Testing):</w:t>
      </w:r>
    </w:p>
    <w:p w14:paraId="0000008C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Тестирование типичных сценариев использования дерева:</w:t>
      </w:r>
    </w:p>
    <w:p w14:paraId="0000008D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Вставка случайных элементов.</w:t>
      </w:r>
    </w:p>
    <w:p w14:paraId="0000008E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Удаление случайных элементов.</w:t>
      </w:r>
    </w:p>
    <w:p w14:paraId="0000008F">
      <w:pPr>
        <w:numPr>
          <w:ilvl w:val="0"/>
          <w:numId w:val="1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Поиск элементов в дереве.</w:t>
      </w:r>
    </w:p>
    <w:p w14:paraId="0000009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тестирования была обнаружена ошибка (из-за того, что результаты выполнения для эталонной и нашей реализации отличались):</w:t>
      </w:r>
    </w:p>
    <w:p w14:paraId="00000092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Ошибка балансировки при удалении:</w:t>
      </w:r>
    </w:p>
    <w:p w14:paraId="00000093">
      <w:pPr>
        <w:numPr>
          <w:ilvl w:val="1"/>
          <w:numId w:val="12"/>
        </w:numPr>
        <w:spacing w:after="0" w:afterAutospacing="0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 удалении элемента в определённых случаях нарушалось свойство чёрной высоты.</w:t>
      </w:r>
    </w:p>
    <w:p w14:paraId="00000094">
      <w:pPr>
        <w:numPr>
          <w:ilvl w:val="1"/>
          <w:numId w:val="12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Исправлено путём добавления дополнительных проверок в метод delete.</w:t>
      </w:r>
    </w:p>
    <w:p w14:paraId="00000095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Как мы можем видеть, все работает корректно:</w:t>
      </w:r>
    </w:p>
    <w:p w14:paraId="0000009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9155" cy="2006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8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Тесты успешно проходятся.</w:t>
      </w:r>
    </w:p>
    <w:p w14:paraId="0000009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9155" cy="34290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Итоговое тестовое покрытие методов класса RedBlackTree.</w:t>
      </w:r>
    </w:p>
    <w:p w14:paraId="0000009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Результаты тестирования:</w:t>
      </w:r>
    </w:p>
    <w:p w14:paraId="0000009E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Красно-черное дерево реализовано корректно и проходит все тесты.</w:t>
      </w:r>
    </w:p>
    <w:p w14:paraId="0000009F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Код покрыт модульными тестами.</w:t>
      </w:r>
    </w:p>
    <w:p w14:paraId="000000A0">
      <w:pPr>
        <w:numPr>
          <w:ilvl w:val="0"/>
          <w:numId w:val="13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Тестирование подтвердило, что дерево корректно выполняет все основные операции и сохраняет свои свойства. </w:t>
      </w:r>
    </w:p>
    <w:p w14:paraId="000000A1">
      <w:pPr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A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 xml:space="preserve">Задание 3: </w:t>
      </w:r>
      <w:r>
        <w:rPr>
          <w:rFonts w:ascii="Times New Roman" w:hAnsi="Times New Roman" w:eastAsia="Times New Roman" w:cs="Times New Roman"/>
          <w:i/>
          <w:sz w:val="30"/>
          <w:szCs w:val="30"/>
          <w:rtl w:val="0"/>
        </w:rPr>
        <w:t>Описание предметной области</w:t>
      </w:r>
    </w:p>
    <w:p w14:paraId="000000A3">
      <w:pPr>
        <w:spacing w:before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начала, спроектируем нашу доменную область в соответствии с заданным текстом.</w:t>
      </w:r>
    </w:p>
    <w:p w14:paraId="000000A4">
      <w:pPr>
        <w:spacing w:before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9155" cy="4445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5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Спроектированная UML диаграмма предметной области.</w:t>
      </w:r>
    </w:p>
    <w:p w14:paraId="000000A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Предметная область включает в себя:</w:t>
      </w:r>
    </w:p>
    <w:p w14:paraId="000000A8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Персонажи (например, Триллиан, Артур).</w:t>
      </w:r>
    </w:p>
    <w:p w14:paraId="000000A9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Объекты (например, дверь, рука).</w:t>
      </w:r>
    </w:p>
    <w:p w14:paraId="000000AA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Действия (например, схватить, потянуть, открыть).</w:t>
      </w:r>
    </w:p>
    <w:p w14:paraId="000000AB">
      <w:pPr>
        <w:numPr>
          <w:ilvl w:val="0"/>
          <w:numId w:val="14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Сценарии (последовательности действий).</w:t>
      </w:r>
    </w:p>
    <w:p w14:paraId="000000A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Далее, в соответствии с TDD напишем тесты по спроектированной модели.</w:t>
      </w:r>
    </w:p>
    <w:p w14:paraId="000000A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 тестирования — убедиться, что:</w:t>
      </w:r>
    </w:p>
    <w:p w14:paraId="000000AF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команды выполняются корректно.</w:t>
      </w:r>
    </w:p>
    <w:p w14:paraId="000000B0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Состояния персонажей и объектов изменяются в соответствии с командами.</w:t>
      </w:r>
    </w:p>
    <w:p w14:paraId="000000B1">
      <w:pPr>
        <w:numPr>
          <w:ilvl w:val="0"/>
          <w:numId w:val="15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Сценарии выполняются последовательно и без ошибок.</w:t>
      </w:r>
    </w:p>
    <w:p w14:paraId="000000B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Составим следующие тесты:</w:t>
      </w:r>
    </w:p>
    <w:p w14:paraId="000000B3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Person</w:t>
      </w:r>
    </w:p>
    <w:p w14:paraId="000000B4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testPersonCreation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 корректность создания объекта Person (имя и начальное состояние).</w:t>
      </w:r>
    </w:p>
    <w:p w14:paraId="000000B5">
      <w:pPr>
        <w:numPr>
          <w:ilvl w:val="0"/>
          <w:numId w:val="16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testSetHypnotized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метод setHypnotized корректно изменяет состояние персонажа.</w:t>
      </w:r>
    </w:p>
    <w:p w14:paraId="000000B6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SceneObject</w:t>
      </w:r>
    </w:p>
    <w:p w14:paraId="000000B7">
      <w:pPr>
        <w:numPr>
          <w:ilvl w:val="0"/>
          <w:numId w:val="17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testSceneObjectCreation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 корректность создания объекта SceneObject (имя объекта).</w:t>
      </w:r>
    </w:p>
    <w:p w14:paraId="000000B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Door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(наследует SceneObject и реализует Openable)</w:t>
      </w:r>
    </w:p>
    <w:p w14:paraId="000000B9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testDoorCreation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 корректность создания объекта Door (имя и начальное состояние).</w:t>
      </w:r>
    </w:p>
    <w:p w14:paraId="000000BA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testOpenDoor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метод open корректно открывает дверь.</w:t>
      </w:r>
    </w:p>
    <w:p w14:paraId="000000BB">
      <w:pPr>
        <w:numPr>
          <w:ilvl w:val="0"/>
          <w:numId w:val="18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testOpenAlreadyOpenDoor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повторный вызов метода open не изменяет состояние уже открытой двери.</w:t>
      </w:r>
    </w:p>
    <w:p w14:paraId="000000BC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GrabCommand</w:t>
      </w:r>
    </w:p>
    <w:p w14:paraId="000000BD">
      <w:pPr>
        <w:numPr>
          <w:ilvl w:val="0"/>
          <w:numId w:val="19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testGrabCommandExecution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команда GrabCommand корректно выполняет действие и выводит ожидаемое сообщение.</w:t>
      </w:r>
    </w:p>
    <w:p w14:paraId="000000BE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PullCommand</w:t>
      </w:r>
    </w:p>
    <w:p w14:paraId="000000BF">
      <w:pPr>
        <w:numPr>
          <w:ilvl w:val="0"/>
          <w:numId w:val="20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testPullCommandExecution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команда PullCommand корректно выполняет действие и выводит ожидаемое сообщение.</w:t>
      </w:r>
    </w:p>
    <w:p w14:paraId="000000C0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OpenCommand</w:t>
      </w:r>
    </w:p>
    <w:p w14:paraId="000000C1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testOpenCommandExecution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команда OpenCommand корректно открывает объект, реализующий интерфейс Openable, и выводит ожидаемое сообщение.</w:t>
      </w:r>
    </w:p>
    <w:p w14:paraId="000000C2">
      <w:pPr>
        <w:numPr>
          <w:ilvl w:val="0"/>
          <w:numId w:val="2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testOpenNonOpenableObject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команда OpenCommand корректно обрабатывает попытку открыть объект, который не реализует интерфейс Openable.</w:t>
      </w:r>
    </w:p>
    <w:p w14:paraId="000000C3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HypnotizeCommand</w:t>
      </w:r>
    </w:p>
    <w:p w14:paraId="000000C4">
      <w:pPr>
        <w:numPr>
          <w:ilvl w:val="0"/>
          <w:numId w:val="2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testHypnotizeCommandExecution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команда HypnotizeCommand корректно изменяет состояние персонажа и выводит ожидаемое сообщение.</w:t>
      </w:r>
    </w:p>
    <w:p w14:paraId="000000C5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Класс: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Scenario</w:t>
      </w:r>
    </w:p>
    <w:p w14:paraId="000000C6">
      <w:pPr>
        <w:numPr>
          <w:ilvl w:val="0"/>
          <w:numId w:val="23"/>
        </w:numPr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testScenarioExecution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Проверяет, что сценарий корректно выполняет последовательность команд и выводит ожидаемые сообщения.</w:t>
      </w:r>
    </w:p>
    <w:p w14:paraId="000000C7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После написания тестов, реализуем собственно сами классы в соответствии с TDD.</w:t>
      </w:r>
    </w:p>
    <w:p w14:paraId="000000C8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C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Как мы можем видеть, все работает корректно:</w:t>
      </w:r>
    </w:p>
    <w:p w14:paraId="000000C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9155" cy="24892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B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Тесты успешно проходятся.</w:t>
      </w:r>
    </w:p>
    <w:p w14:paraId="000000C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CD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39155" cy="1320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E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Итоговое тестовое покрытие.</w:t>
      </w:r>
    </w:p>
    <w:p w14:paraId="000000CF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D0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Выводы</w:t>
      </w:r>
    </w:p>
    <w:p w14:paraId="000000D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14:paraId="000000D2">
      <w:pPr>
        <w:rPr>
          <w:rFonts w:ascii="Times New Roman" w:hAnsi="Times New Roman" w:eastAsia="Times New Roman" w:cs="Times New Roman"/>
          <w:sz w:val="28"/>
          <w:szCs w:val="28"/>
        </w:rPr>
      </w:pPr>
      <w:bookmarkStart w:id="0" w:name="_gjdgxs" w:colFirst="0" w:colLast="0"/>
      <w:bookmarkEnd w:id="0"/>
    </w:p>
    <w:sectPr>
      <w:headerReference r:id="rId5" w:type="default"/>
      <w:pgSz w:w="11906" w:h="16838"/>
      <w:pgMar w:top="1134" w:right="851" w:bottom="567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D026883"/>
    <w:rsid w:val="3E7B6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0" w:line="240" w:lineRule="auto"/>
    </w:pPr>
    <w:rPr>
      <w:rFonts w:ascii="Calibri" w:hAnsi="Calibri" w:eastAsia="Calibri" w:cs="Calibri"/>
      <w:color w:val="2E75B5"/>
      <w:sz w:val="32"/>
      <w:szCs w:val="32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2">
    <w:name w:val="Table Normal"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GI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2026-03-01T20:19:00Z</dcterms:created>
  <dc:creator>saran</dc:creator>
  <cp:lastModifiedBy>Павел</cp:lastModifiedBy>
  <dcterms:modified xsi:type="dcterms:W3CDTF">2026-03-01T20:22:02Z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  <property fmtid="{D5CDD505-2E9C-101B-9397-08002B2CF9AE}" pid="3" name="KSOProductBuildVer">
    <vt:lpwstr>1049-12.2.0.23196</vt:lpwstr>
  </property>
  <property fmtid="{D5CDD505-2E9C-101B-9397-08002B2CF9AE}" pid="4" name="ICV">
    <vt:lpwstr>2F1346185EFD4891B923F248DDF120A2_12</vt:lpwstr>
  </property>
</Properties>
</file>