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##: Estimated epidemic onset in days after sowing (DAS) and the mean
      difference to the non-inoculated sentinal-2 data (intercept). 
      P values indicate statistical significance in comparison to the intercept.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58"/>
        <w:gridCol w:w="1189"/>
        <w:gridCol w:w="1266"/>
        <w:gridCol w:w="1020"/>
      </w:tblGrid>
      <w:tr>
        <w:trPr>
          <w:trHeight w:val="59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Pr(&gt;|t|)</w:t>
            </w:r>
          </w:p>
        </w:tc>
      </w:tr>
      <w:tr>
        <w:trPr>
          <w:trHeight w:val="55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156.940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Sentinal-2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-17.845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-21.742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Observed : Inoculated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-15.978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5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 S2 : Inoculated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529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UAS : Inoculated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18.829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2025-05-14T09:21:34Z</dcterms:modified>
  <cp:category/>
</cp:coreProperties>
</file>