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##: Estimated epidemic onset in days after sowing (DAS) and the mean
      difference to the non-inoculated sentinal-2 data (intercept). 
      P values indicate statistical significance in comparison to the intercept.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58"/>
        <w:gridCol w:w="1189"/>
        <w:gridCol w:w="1266"/>
        <w:gridCol w:w="1020"/>
      </w:tblGrid>
      <w:tr>
        <w:trPr>
          <w:trHeight w:val="59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Pr(&gt;|t|)</w:t>
            </w:r>
          </w:p>
        </w:tc>
      </w:tr>
      <w:tr>
        <w:trPr>
          <w:trHeight w:val="55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156.940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Super Sentinal-2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2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Sentinal-2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-17.845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2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-21.742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2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Observed : Inoculated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-15.978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Super S2 : Inoculated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29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S2 : Inoculated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29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UAS : Inoculated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18.829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2025-05-14T09:04:06Z</dcterms:modified>
  <cp:category/>
</cp:coreProperties>
</file>