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epidemic onset in days after sowing (DAS) and the mean
      difference to the non-inoculated observed epidemic onset days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00"/>
        <w:gridCol w:w="1294"/>
        <w:gridCol w:w="1366"/>
        <w:gridCol w:w="1150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6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Observed : Inoculated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6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34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 : 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2025-05-16T11:15:49Z</dcterms:modified>
  <cp:category/>
</cp:coreProperties>
</file>