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EB" w:rsidRDefault="005043EB" w:rsidP="005043EB">
      <w:pPr>
        <w:pStyle w:val="formattext"/>
        <w:spacing w:before="0" w:beforeAutospacing="0" w:after="0" w:afterAutospacing="0" w:line="330" w:lineRule="atLeast"/>
        <w:jc w:val="righ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ГОСТ 34.602-89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bookmarkStart w:id="0" w:name="_GoBack"/>
      <w:bookmarkEnd w:id="0"/>
      <w:r>
        <w:rPr>
          <w:rFonts w:ascii="Arial" w:hAnsi="Arial" w:cs="Arial"/>
          <w:color w:val="444444"/>
        </w:rPr>
        <w:t>Группа П87</w:t>
      </w:r>
    </w:p>
    <w:p w:rsidR="005043EB" w:rsidRPr="005043EB" w:rsidRDefault="005043EB" w:rsidP="005043EB">
      <w:pPr>
        <w:pStyle w:val="headertext"/>
        <w:spacing w:before="0" w:beforeAutospacing="0" w:after="240" w:afterAutospacing="0" w:line="330" w:lineRule="atLeast"/>
        <w:jc w:val="center"/>
        <w:textAlignment w:val="baseline"/>
        <w:rPr>
          <w:rFonts w:ascii="Arial" w:hAnsi="Arial" w:cs="Arial"/>
          <w:b/>
          <w:bCs/>
          <w:color w:val="444444"/>
          <w:lang w:val="en-US"/>
        </w:rPr>
      </w:pPr>
      <w:r>
        <w:rPr>
          <w:rFonts w:ascii="Arial" w:hAnsi="Arial" w:cs="Arial"/>
          <w:b/>
          <w:bCs/>
          <w:color w:val="444444"/>
        </w:rPr>
        <w:br/>
        <w:t>МЕЖГОСУДАРСТВЕННЫЙ СТАНДАРТ</w:t>
      </w:r>
      <w:r>
        <w:rPr>
          <w:rFonts w:ascii="Arial" w:hAnsi="Arial" w:cs="Arial"/>
          <w:b/>
          <w:bCs/>
          <w:color w:val="444444"/>
        </w:rPr>
        <w:br/>
      </w:r>
      <w:r>
        <w:rPr>
          <w:rFonts w:ascii="Arial" w:hAnsi="Arial" w:cs="Arial"/>
          <w:b/>
          <w:bCs/>
          <w:color w:val="444444"/>
        </w:rPr>
        <w:br/>
      </w:r>
      <w:r>
        <w:rPr>
          <w:rFonts w:ascii="Arial" w:hAnsi="Arial" w:cs="Arial"/>
          <w:b/>
          <w:bCs/>
          <w:color w:val="444444"/>
        </w:rPr>
        <w:br/>
        <w:t>ИНФОРМАЦИОННАЯ ТЕХНОЛОГИЯ</w:t>
      </w:r>
      <w:r>
        <w:rPr>
          <w:rFonts w:ascii="Arial" w:hAnsi="Arial" w:cs="Arial"/>
          <w:b/>
          <w:bCs/>
          <w:color w:val="444444"/>
        </w:rPr>
        <w:br/>
      </w:r>
      <w:r>
        <w:rPr>
          <w:rFonts w:ascii="Arial" w:hAnsi="Arial" w:cs="Arial"/>
          <w:b/>
          <w:bCs/>
          <w:color w:val="444444"/>
        </w:rPr>
        <w:br/>
        <w:t>Комплекс стандартов на автоматизированные системы. Техническое</w:t>
      </w:r>
      <w:r w:rsidRPr="005043EB">
        <w:rPr>
          <w:rFonts w:ascii="Arial" w:hAnsi="Arial" w:cs="Arial"/>
          <w:b/>
          <w:bCs/>
          <w:color w:val="444444"/>
          <w:lang w:val="en-US"/>
        </w:rPr>
        <w:t xml:space="preserve"> </w:t>
      </w:r>
      <w:r>
        <w:rPr>
          <w:rFonts w:ascii="Arial" w:hAnsi="Arial" w:cs="Arial"/>
          <w:b/>
          <w:bCs/>
          <w:color w:val="444444"/>
        </w:rPr>
        <w:t>задание</w:t>
      </w:r>
      <w:r w:rsidRPr="005043EB">
        <w:rPr>
          <w:rFonts w:ascii="Arial" w:hAnsi="Arial" w:cs="Arial"/>
          <w:b/>
          <w:bCs/>
          <w:color w:val="444444"/>
          <w:lang w:val="en-US"/>
        </w:rPr>
        <w:t xml:space="preserve"> </w:t>
      </w:r>
      <w:r>
        <w:rPr>
          <w:rFonts w:ascii="Arial" w:hAnsi="Arial" w:cs="Arial"/>
          <w:b/>
          <w:bCs/>
          <w:color w:val="444444"/>
        </w:rPr>
        <w:t>на</w:t>
      </w:r>
      <w:r w:rsidRPr="005043EB">
        <w:rPr>
          <w:rFonts w:ascii="Arial" w:hAnsi="Arial" w:cs="Arial"/>
          <w:b/>
          <w:bCs/>
          <w:color w:val="444444"/>
          <w:lang w:val="en-US"/>
        </w:rPr>
        <w:t xml:space="preserve"> </w:t>
      </w:r>
      <w:r>
        <w:rPr>
          <w:rFonts w:ascii="Arial" w:hAnsi="Arial" w:cs="Arial"/>
          <w:b/>
          <w:bCs/>
          <w:color w:val="444444"/>
        </w:rPr>
        <w:t>создание</w:t>
      </w:r>
      <w:r w:rsidRPr="005043EB">
        <w:rPr>
          <w:rFonts w:ascii="Arial" w:hAnsi="Arial" w:cs="Arial"/>
          <w:b/>
          <w:bCs/>
          <w:color w:val="444444"/>
          <w:lang w:val="en-US"/>
        </w:rPr>
        <w:t xml:space="preserve"> </w:t>
      </w:r>
      <w:r>
        <w:rPr>
          <w:rFonts w:ascii="Arial" w:hAnsi="Arial" w:cs="Arial"/>
          <w:b/>
          <w:bCs/>
          <w:color w:val="444444"/>
        </w:rPr>
        <w:t>автоматизированной</w:t>
      </w:r>
      <w:r w:rsidRPr="005043EB">
        <w:rPr>
          <w:rFonts w:ascii="Arial" w:hAnsi="Arial" w:cs="Arial"/>
          <w:b/>
          <w:bCs/>
          <w:color w:val="444444"/>
          <w:lang w:val="en-US"/>
        </w:rPr>
        <w:t xml:space="preserve"> </w:t>
      </w:r>
      <w:r>
        <w:rPr>
          <w:rFonts w:ascii="Arial" w:hAnsi="Arial" w:cs="Arial"/>
          <w:b/>
          <w:bCs/>
          <w:color w:val="444444"/>
        </w:rPr>
        <w:t>системы</w:t>
      </w:r>
      <w:r w:rsidRPr="005043EB">
        <w:rPr>
          <w:rFonts w:ascii="Arial" w:hAnsi="Arial" w:cs="Arial"/>
          <w:b/>
          <w:bCs/>
          <w:color w:val="444444"/>
          <w:lang w:val="en-US"/>
        </w:rPr>
        <w:br/>
      </w:r>
      <w:r w:rsidRPr="005043EB">
        <w:rPr>
          <w:rFonts w:ascii="Arial" w:hAnsi="Arial" w:cs="Arial"/>
          <w:b/>
          <w:bCs/>
          <w:color w:val="444444"/>
          <w:lang w:val="en-US"/>
        </w:rPr>
        <w:br/>
        <w:t>Information technology. Set of standards for automated systems. Technical directions for automated system making  </w:t>
      </w:r>
    </w:p>
    <w:p w:rsidR="005043EB" w:rsidRP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  <w:lang w:val="en-US"/>
        </w:rPr>
      </w:pPr>
    </w:p>
    <w:p w:rsidR="005043EB" w:rsidRPr="005043EB" w:rsidRDefault="005043EB" w:rsidP="005043EB">
      <w:pPr>
        <w:pStyle w:val="formattext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>МКС</w:t>
      </w:r>
      <w:r w:rsidRPr="005043EB">
        <w:rPr>
          <w:rFonts w:ascii="Arial" w:hAnsi="Arial" w:cs="Arial"/>
          <w:color w:val="444444"/>
          <w:lang w:val="en-US"/>
        </w:rPr>
        <w:t xml:space="preserve"> 35.080</w:t>
      </w:r>
    </w:p>
    <w:p w:rsidR="005043EB" w:rsidRPr="005043EB" w:rsidRDefault="005043EB" w:rsidP="005043EB">
      <w:pPr>
        <w:pStyle w:val="formattext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>ОКСТУ</w:t>
      </w:r>
      <w:r w:rsidRPr="005043EB">
        <w:rPr>
          <w:rFonts w:ascii="Arial" w:hAnsi="Arial" w:cs="Arial"/>
          <w:color w:val="444444"/>
          <w:lang w:val="en-US"/>
        </w:rPr>
        <w:t xml:space="preserve"> 0034</w:t>
      </w:r>
      <w:r w:rsidRPr="005043EB">
        <w:rPr>
          <w:rFonts w:ascii="Arial" w:hAnsi="Arial" w:cs="Arial"/>
          <w:color w:val="444444"/>
          <w:lang w:val="en-US"/>
        </w:rPr>
        <w:br/>
      </w:r>
    </w:p>
    <w:p w:rsidR="005043EB" w:rsidRPr="005043EB" w:rsidRDefault="005043EB" w:rsidP="005043EB">
      <w:pPr>
        <w:pStyle w:val="formattext"/>
        <w:spacing w:before="0" w:beforeAutospacing="0" w:after="0" w:afterAutospacing="0" w:line="330" w:lineRule="atLeast"/>
        <w:jc w:val="right"/>
        <w:textAlignment w:val="baseline"/>
        <w:rPr>
          <w:rFonts w:ascii="Arial" w:hAnsi="Arial" w:cs="Arial"/>
          <w:color w:val="444444"/>
          <w:lang w:val="en-US"/>
        </w:rPr>
      </w:pPr>
      <w:r>
        <w:rPr>
          <w:rFonts w:ascii="Arial" w:hAnsi="Arial" w:cs="Arial"/>
          <w:color w:val="444444"/>
        </w:rPr>
        <w:t>Дата</w:t>
      </w:r>
      <w:r w:rsidRPr="005043EB">
        <w:rPr>
          <w:rFonts w:ascii="Arial" w:hAnsi="Arial" w:cs="Arial"/>
          <w:color w:val="444444"/>
          <w:lang w:val="en-US"/>
        </w:rPr>
        <w:t xml:space="preserve"> </w:t>
      </w:r>
      <w:r>
        <w:rPr>
          <w:rFonts w:ascii="Arial" w:hAnsi="Arial" w:cs="Arial"/>
          <w:color w:val="444444"/>
        </w:rPr>
        <w:t>введения</w:t>
      </w:r>
      <w:r w:rsidRPr="005043EB">
        <w:rPr>
          <w:rFonts w:ascii="Arial" w:hAnsi="Arial" w:cs="Arial"/>
          <w:color w:val="444444"/>
          <w:lang w:val="en-US"/>
        </w:rPr>
        <w:t xml:space="preserve"> 1990-01-01</w:t>
      </w:r>
    </w:p>
    <w:p w:rsidR="005043EB" w:rsidRDefault="005043EB" w:rsidP="005043EB">
      <w:pPr>
        <w:pStyle w:val="headertext"/>
        <w:spacing w:before="0" w:beforeAutospacing="0" w:after="240" w:afterAutospacing="0" w:line="330" w:lineRule="atLeast"/>
        <w:jc w:val="center"/>
        <w:textAlignment w:val="baseline"/>
        <w:rPr>
          <w:rFonts w:ascii="Arial" w:hAnsi="Arial" w:cs="Arial"/>
          <w:b/>
          <w:bCs/>
          <w:color w:val="444444"/>
        </w:rPr>
      </w:pPr>
      <w:r w:rsidRPr="005043EB">
        <w:rPr>
          <w:rFonts w:ascii="Arial" w:hAnsi="Arial" w:cs="Arial"/>
          <w:b/>
          <w:bCs/>
          <w:color w:val="444444"/>
          <w:lang w:val="en-US"/>
        </w:rPr>
        <w:t>     </w:t>
      </w:r>
      <w:r w:rsidRPr="005043EB">
        <w:rPr>
          <w:rFonts w:ascii="Arial" w:hAnsi="Arial" w:cs="Arial"/>
          <w:b/>
          <w:bCs/>
          <w:color w:val="444444"/>
        </w:rPr>
        <w:br/>
      </w:r>
      <w:r w:rsidRPr="005043EB">
        <w:rPr>
          <w:rFonts w:ascii="Arial" w:hAnsi="Arial" w:cs="Arial"/>
          <w:b/>
          <w:bCs/>
          <w:color w:val="444444"/>
        </w:rPr>
        <w:br/>
      </w:r>
      <w:r>
        <w:rPr>
          <w:rFonts w:ascii="Arial" w:hAnsi="Arial" w:cs="Arial"/>
          <w:b/>
          <w:bCs/>
          <w:color w:val="444444"/>
        </w:rPr>
        <w:t>ИНФОРМАЦИОННЫЕ ДАННЫЕ</w:t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 РАЗРАБОТАН И ВНЕСЕН Государственным комитетом СССР по стандартам,  Министерством приборостроения, средств автоматизации и систем управления СССР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 УТВЕРЖДЕН И ВВЕДЕН В ДЕЙСТВИЕ Постановлением Государственного комитета СССР по стандартам от 24.03.89 N 661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3. ВЗАМЕН </w:t>
      </w:r>
      <w:hyperlink r:id="rId5" w:history="1">
        <w:r>
          <w:rPr>
            <w:rStyle w:val="a3"/>
            <w:rFonts w:ascii="Arial" w:hAnsi="Arial" w:cs="Arial"/>
            <w:color w:val="3451A0"/>
          </w:rPr>
          <w:t>ГОСТ 24.201-85</w:t>
        </w:r>
      </w:hyperlink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4. ССЫЛОЧНЫЕ НОРМАТИВНО-ТЕХНИЧЕСКИЕ ДОКУМЕНТЫ 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9"/>
        <w:gridCol w:w="3696"/>
      </w:tblGrid>
      <w:tr w:rsidR="005043EB" w:rsidTr="005043EB">
        <w:trPr>
          <w:trHeight w:val="15"/>
        </w:trPr>
        <w:tc>
          <w:tcPr>
            <w:tcW w:w="5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43EB" w:rsidRDefault="005043EB">
            <w:pPr>
              <w:rPr>
                <w:rFonts w:ascii="Arial" w:hAnsi="Arial" w:cs="Arial"/>
                <w:color w:val="444444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43EB" w:rsidRDefault="005043EB">
            <w:pPr>
              <w:rPr>
                <w:sz w:val="20"/>
                <w:szCs w:val="20"/>
              </w:rPr>
            </w:pPr>
          </w:p>
        </w:tc>
      </w:tr>
      <w:tr w:rsidR="005043EB" w:rsidTr="005043EB"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>
              <w:t>Обозначение НТД, на который дана ссылка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>
              <w:t>Номер пункта, приложения</w:t>
            </w:r>
          </w:p>
        </w:tc>
      </w:tr>
      <w:tr w:rsidR="005043EB" w:rsidTr="005043EB"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hyperlink r:id="rId6" w:anchor="7D20K3" w:history="1">
              <w:r>
                <w:rPr>
                  <w:rStyle w:val="a3"/>
                  <w:color w:val="3451A0"/>
                </w:rPr>
                <w:t>ГОСТ 2.105-95</w:t>
              </w:r>
            </w:hyperlink>
            <w:r>
              <w:br/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r>
              <w:t>3.2</w:t>
            </w:r>
            <w:r>
              <w:br/>
            </w:r>
          </w:p>
        </w:tc>
      </w:tr>
      <w:tr w:rsidR="005043EB" w:rsidTr="005043EB"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hyperlink r:id="rId7" w:anchor="7D20K3" w:history="1">
              <w:r>
                <w:rPr>
                  <w:rStyle w:val="a3"/>
                  <w:color w:val="3451A0"/>
                </w:rPr>
                <w:t>ГОСТ 2.301-68</w:t>
              </w:r>
            </w:hyperlink>
            <w:r>
              <w:br/>
            </w:r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r>
              <w:t>3.2</w:t>
            </w:r>
            <w:r>
              <w:br/>
            </w:r>
          </w:p>
        </w:tc>
      </w:tr>
      <w:tr w:rsidR="005043EB" w:rsidTr="005043EB"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hyperlink r:id="rId8" w:anchor="7D20K3" w:history="1">
              <w:r>
                <w:rPr>
                  <w:rStyle w:val="a3"/>
                  <w:color w:val="3451A0"/>
                </w:rPr>
                <w:t>ГОСТ 2.501-88</w:t>
              </w:r>
            </w:hyperlink>
            <w:r>
              <w:br/>
            </w:r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r>
              <w:t>Приложение 1</w:t>
            </w:r>
            <w:r>
              <w:br/>
            </w:r>
          </w:p>
        </w:tc>
      </w:tr>
      <w:tr w:rsidR="005043EB" w:rsidTr="005043EB"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hyperlink r:id="rId9" w:history="1">
              <w:r>
                <w:rPr>
                  <w:rStyle w:val="a3"/>
                  <w:color w:val="3451A0"/>
                </w:rPr>
                <w:t>ГОСТ 6.10.1-88</w:t>
              </w:r>
            </w:hyperlink>
            <w:r>
              <w:br/>
            </w:r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r>
              <w:t>2.6.1.13</w:t>
            </w:r>
            <w:r>
              <w:br/>
            </w:r>
          </w:p>
        </w:tc>
      </w:tr>
      <w:tr w:rsidR="005043EB" w:rsidTr="005043EB"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hyperlink r:id="rId10" w:anchor="7D20K3" w:history="1">
              <w:r>
                <w:rPr>
                  <w:rStyle w:val="a3"/>
                  <w:color w:val="3451A0"/>
                </w:rPr>
                <w:t>ГОСТ 6.10.4-84</w:t>
              </w:r>
            </w:hyperlink>
            <w:r>
              <w:br/>
            </w:r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r>
              <w:t>2.6.3.2</w:t>
            </w:r>
            <w:r>
              <w:br/>
            </w:r>
          </w:p>
        </w:tc>
      </w:tr>
      <w:tr w:rsidR="005043EB" w:rsidTr="005043EB"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hyperlink r:id="rId11" w:anchor="7D20K3" w:history="1">
              <w:r>
                <w:rPr>
                  <w:rStyle w:val="a3"/>
                  <w:color w:val="3451A0"/>
                </w:rPr>
                <w:t>ГОСТ 19.201-78</w:t>
              </w:r>
            </w:hyperlink>
            <w:r>
              <w:br/>
            </w:r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r>
              <w:t>1.2</w:t>
            </w:r>
            <w:r>
              <w:br/>
            </w:r>
          </w:p>
        </w:tc>
      </w:tr>
      <w:tr w:rsidR="005043EB" w:rsidTr="005043EB"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r>
              <w:t>ГОСТ 34.201-89</w:t>
            </w:r>
            <w:r>
              <w:br/>
            </w:r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r>
              <w:t>2.7, 2.10</w:t>
            </w:r>
            <w:r>
              <w:br/>
            </w:r>
          </w:p>
        </w:tc>
      </w:tr>
      <w:tr w:rsidR="005043EB" w:rsidTr="005043EB">
        <w:tc>
          <w:tcPr>
            <w:tcW w:w="5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r>
              <w:t>ГОСТ 34.601-90</w:t>
            </w:r>
            <w:r>
              <w:br/>
            </w:r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5043EB" w:rsidRDefault="005043EB">
            <w:pPr>
              <w:pStyle w:val="formattext"/>
              <w:spacing w:before="0" w:beforeAutospacing="0" w:after="0" w:afterAutospacing="0"/>
              <w:ind w:firstLine="480"/>
              <w:textAlignment w:val="baseline"/>
            </w:pPr>
            <w:r>
              <w:t>1.5, 2.7</w:t>
            </w:r>
            <w:r>
              <w:br/>
            </w:r>
          </w:p>
        </w:tc>
      </w:tr>
    </w:tbl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5. ПЕРЕИЗДАНИЕ. Июнь 2009 г.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Настоящий стандарт распространяется на автоматизированные системы (АС) для автоматизации различных видов деятельности (управление, проектирование, исследование и т.п.), включая их сочетания, и устанавливает состав, содержание, правила оформления документа "Техническое задание на создание (развитие или модернизацию) системы" (далее - ТЗ на АС).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Рекомендуемый порядок разработки, согласования и утверждения ТЗ на АС приведен в приложении 1.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2"/>
        <w:spacing w:before="0" w:beforeAutospacing="0" w:after="240" w:afterAutospacing="0" w:line="330" w:lineRule="atLeast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1. ОБЩИЕ ПОЛОЖЕНИЯ  </w:t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1.1. ТЗ на АС является основным документом, определяющим требования и порядок создания (развития или модернизации - далее создания) автоматизированной системы, в соответствии с которым проводится разработка АС и ее приемка при вводе в действие.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1.2. ТЗ на АС разрабатывают на систему в целом, предназначенную для работы самостоятельно или в составе другой системы.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Дополнительно могут быть разработаны ТЗ на части АС: на подсистемы АС, комплексы задач АС и т.п. в соответствии с требованиями настоящего стандарта; на комплектующие средства технического обеспечения и программно-технические комплексы в соответствии со стандартами ЕСКД и СРПП; на программные средства в соответствии со стандартами ЕСПД; на информационные изделия в соответствии с </w:t>
      </w:r>
      <w:hyperlink r:id="rId12" w:anchor="7D20K3" w:history="1">
        <w:r>
          <w:rPr>
            <w:rStyle w:val="a3"/>
            <w:rFonts w:ascii="Arial" w:hAnsi="Arial" w:cs="Arial"/>
            <w:color w:val="3451A0"/>
          </w:rPr>
          <w:t>ГОСТ 19.201</w:t>
        </w:r>
      </w:hyperlink>
      <w:r>
        <w:rPr>
          <w:rFonts w:ascii="Arial" w:hAnsi="Arial" w:cs="Arial"/>
          <w:color w:val="444444"/>
        </w:rPr>
        <w:t> и НТД, действующей в ведомстве заказчика АС.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Примечание. В ТЗ на АСУ для группы взаимосвязанных объектов следует включать только общие для группы объектов требования. Специфические требования отдельного объекта управления следует отражать в ТЗ на АСУ этого объекта.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1.3. Требования к АС в объеме, установленном настоящим стандартом, могут быть включены в задание на проектирование вновь создаваемого объекта автоматизации. В этом случае ТЗ на АС не разрабатывают.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1.4. Включаемые в ТЗ на АС требования должны соответствовать современному уровню развития науки и техники и не уступать аналогичным требованиям, предъявляемым к лучшим современным отечественным и зарубежным аналогам.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Задаваемые в ТЗ на АС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1.5. ТЗ на АС разрабатывают на основании исходных данных, в том числе содержащихся в итоговой документации стадии "Исследование и обоснование создания АС", установленной </w:t>
      </w:r>
      <w:hyperlink r:id="rId13" w:anchor="7D20K3" w:history="1">
        <w:r>
          <w:rPr>
            <w:rStyle w:val="a3"/>
            <w:rFonts w:ascii="Arial" w:hAnsi="Arial" w:cs="Arial"/>
            <w:color w:val="3451A0"/>
          </w:rPr>
          <w:t>ГОСТ 34.601</w:t>
        </w:r>
      </w:hyperlink>
      <w:r>
        <w:rPr>
          <w:rFonts w:ascii="Arial" w:hAnsi="Arial" w:cs="Arial"/>
          <w:color w:val="444444"/>
        </w:rPr>
        <w:t>.     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1.6. В ТЗ на АС включают только те требования, которые дополняют требования к системам данного вида (АСУ, САПР, АСНИ и т.д.), содержащиеся в действующих НТД, и определяются спецификой конкретного объекта, для которого создается система.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1.7. Изменения к ТЗ на АС оформляют дополнением или подписанным заказчиком и разработчиком протоколом. Дополнение или указанный протокол являются неотъемлемой частью ТЗ на АС. На титульном листе ТЗ на АС должна быть запись "Действует с … ".</w:t>
      </w:r>
    </w:p>
    <w:p w:rsidR="005043EB" w:rsidRDefault="005043EB" w:rsidP="005043EB">
      <w:pPr>
        <w:pStyle w:val="2"/>
        <w:spacing w:before="0" w:beforeAutospacing="0" w:after="240" w:afterAutospacing="0" w:line="330" w:lineRule="atLeast"/>
        <w:jc w:val="center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2. СОСТАВ И СОДЕРЖАНИЕ  </w:t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2.1. ТЗ на АС содержит следующие разделы, которые могут быть разделены на подразделы: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общие сведения;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назначение и цели создания (развития)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характеристика объектов автоматизации;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4) требования к системе;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5) состав и содержание работ по созданию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6) порядок контроля и приемки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7) требования к составу и содержанию работ по подготовке объекта автоматизации к вводу системы в действие;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8) требования к документированию;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9) источники разработки.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ТЗ на АС могут включаться приложения.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2.2. В зависимости от вида, назначения, специфических особенностей объекта автоматизации и условий функционирования системы допускается оформлять разделы ТЗ в виде приложений, вводить дополнительные, исключать или объединять подразделы ТЗ.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ТЗ на части системы не включают разделы, дублирующие содержание разделов ТЗ на АС в целом.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2.3. В разделе "Общие сведения" указывают: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полное наименование системы и ее условное обозначение;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шифр темы или шифр (номер) договора;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наименование предприятий (объединений) разработчика и заказчика (пользователя) системы и их реквизиты;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4) перечень документов, на основании которых создается система, кем и когда утверждены эти документы;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5) плановые сроки начала и окончания работы по созданию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6) сведения об источниках и порядке финансирования работ;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2.4. Раздел "Назначение и цели создания (развития) системы" состоит из подразделов: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назначение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цели создания системы.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2.4.1. В подразделе "Назначение системы" указывают вид автоматизируемой деятельности (управление, проектирование и т.п.) и перечень объектов автоматизации (объектов), на которых предполагается ее использовать.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Для АСУ дополнительно указывают перечень автоматизируемых органов (пунктов) управления и управляемых объектов.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2.4.2. В подразделе "Цели создания системы"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2.5. В разделе "Характеристики объекта автоматизации" приводят: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краткие сведения об объекте автоматизации или ссылки на документы, содержащие такую информацию;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сведения об условиях эксплуатации объекта автоматизации и характеристиках окружающей среды.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Примечание. Для САПР в разделе дополнительно приводят основные параметры и характеристики объектов проектирования.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 Раздел "Требования к системе" состоит из следующих подразделов: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требования к системе в целом;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требования к функциям (задачам), выполняемым системой;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требования к видам обеспечения.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Состав требований к системе,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системы. В каждом подразделе приводят ссылки на действующие НТД, определяющие требования к системам соответствующего вида.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 В подразделе "Требования к системе в целом" указывают: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к структуре и функционированию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к численности и квалификации персонала системы и режиму его работы;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показатели назначения;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- требования к надежности;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безопасности;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к эргономике и технической эстетике;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к транспортабельности для подвижных АС;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к эксплуатации, техническому обслуживанию, ремонту и хранению компонентов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к защите информации от несанкционированного доступа;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по сохранности информации при авариях;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к защите от влияния внешних воздействий;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к патентной чистоте;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по стандартизации и унификации;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дополнительные требования.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2.6.1.1. В требованиях к структуре и функционированию системы приводят: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перечень подсистем, их назначение и основные характеристики, требования к числу уровней иерархии и степени централизации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требования к способам и средствам связи для информационного обмена между компонентами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4) требования к режимам функционирования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5) требования по диагностированию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6) перспективы развития, модернизации системы.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2.6.1.2. В требованиях к численности и квалификации персонала АС приводят: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к численности персонала (пользователей) АС;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требования к квалификации персонала, порядку его подготовки и контроля знаний и навыков;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требуемый режим работы персонала АС.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2.6.1.3. В требованиях к показателям назначения АС приводят значения параметров, характеризующие степень соответствия системы ее назначению.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Для АСУ указывают: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степень приспособляемости системы к изменению процессов и методов управления, к отклонениям параметров объекта управления;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допустимые пределы модернизации и развития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- вероятностно-временные характеристики, при которых сохраняется целевое назначение системы.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2.6.1.4. В требования к надежности включают: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состав и количественные значения показателей надежности для системы в целом или ее подсистем;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перечень аварийных ситуаций, по которым должны быть регламентированы требования к надежности, и значения соответствующих показателей;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требования к надежности технических средств и программного обеспечения;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2.6.1.5. 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т.п.), по допустимым уровням </w:t>
      </w:r>
      <w:r>
        <w:rPr>
          <w:rFonts w:ascii="Arial" w:hAnsi="Arial" w:cs="Arial"/>
          <w:color w:val="444444"/>
        </w:rPr>
        <w:lastRenderedPageBreak/>
        <w:t>освещенности, вибрационных и шумовых нагрузок.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2.6.1.6. 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2.6.1.7. Для подвижных АС в требования к транспортабельности включают конструктивные требования, обеспечивающие транспортабельность технических средств системы, а также требования к транспортным средствам.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2.6.1.8. В требования к эксплуатации, техническому обслуживанию, ремонту и хранению включают: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предварительные требования к допустимым площадям для размещения персонала и ТС системы, к параметрам сетей энергоснабжения и т.п.;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требования по количеству, квалификации обслуживающего персонала и режимам его работы;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4) требования к составу, размещению и условиям хранения комплекта запасных изделий и приборов;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5) требования к регламенту обслуживания.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2.6.1.9. В требования к защите информации от несанкционированного доступа включают требования, установленные в НТД, действующей в отрасли (ведомстве) заказчика.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2.6.1.10. В требованиях по сохранности информации приводят перечень событий: аварий, отказов технических средств (в том числе - потеря питания) и т.п., при которых должна быть обеспечена сохранность информации в системе.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2.6.1.11. В требованиях к средствам защиты от внешних воздействий приводят: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требования к радиоэлектронной защите средств АС;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2) требования по стойкости, устойчивости и прочности к внешним воздействиям (среде применения).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2.6.1.12. 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2.6.1.13. В требования к стандартизации и унификации включают: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 </w:t>
      </w:r>
      <w:hyperlink r:id="rId14" w:history="1">
        <w:r>
          <w:rPr>
            <w:rStyle w:val="a3"/>
            <w:rFonts w:ascii="Arial" w:hAnsi="Arial" w:cs="Arial"/>
            <w:color w:val="3451A0"/>
          </w:rPr>
          <w:t>ГОСТ 6.10.1</w:t>
        </w:r>
      </w:hyperlink>
      <w:r>
        <w:rPr>
          <w:rFonts w:ascii="Arial" w:hAnsi="Arial" w:cs="Arial"/>
          <w:color w:val="444444"/>
        </w:rPr>
        <w:t>*,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_____________________</w:t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 На территории Российской Федерации действуют </w:t>
      </w:r>
      <w:hyperlink r:id="rId15" w:anchor="7D20K3" w:history="1">
        <w:r>
          <w:rPr>
            <w:rStyle w:val="a3"/>
            <w:rFonts w:ascii="Arial" w:hAnsi="Arial" w:cs="Arial"/>
            <w:color w:val="3451A0"/>
          </w:rPr>
          <w:t>ПР 50.1.019-2000</w:t>
        </w:r>
      </w:hyperlink>
      <w:r>
        <w:rPr>
          <w:rFonts w:ascii="Arial" w:hAnsi="Arial" w:cs="Arial"/>
          <w:color w:val="444444"/>
        </w:rPr>
        <w:t>.</w:t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2.6.1.14. В дополнительные требования включают: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требования к сервисной аппаратуре, стендам для проверки элементов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требования к системе, связанные с особыми условиями эксплуатации;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4) специальные требования по усмотрению разработчика или заказчика системы.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2.6.2. В подразделе "Требования к функциям (задачам)", выполняемым системой, приводят: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2) временной регламент реализации каждой функции, задачи (или комплекса задач);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4) перечень и критерии отказов для каждой функции, по которой задаются требования по надежности.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2.6.3. В подразделе "Требования к видам обеспечения" 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другим видам обеспечения системы.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2.6.3.1. Для математического обеспечения системы приводят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2.6.3.2. Для информационного обеспечения системы приводят требования: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к составу, структуре и способам организации данных в системе;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к информационному обмену между компонентами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к информационной совместимости со смежными системами;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5) по применению систем управления базами данных;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6) к структуре процесса сбора, обработки, передачи данных в системе и представлению данных;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7) к защите данных от разрушений при авариях и сбоях в электропитании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8) к контролю, хранению, обновлению и восстановлению данных;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9) к процедуре придания юридической силы документам, продуцируемым техническими средствами АС (в соответствии с </w:t>
      </w:r>
      <w:hyperlink r:id="rId16" w:anchor="7D20K3" w:history="1">
        <w:r>
          <w:rPr>
            <w:rStyle w:val="a3"/>
            <w:rFonts w:ascii="Arial" w:hAnsi="Arial" w:cs="Arial"/>
            <w:color w:val="3451A0"/>
          </w:rPr>
          <w:t>ГОСТ 6.10.4</w:t>
        </w:r>
      </w:hyperlink>
      <w:r>
        <w:rPr>
          <w:rFonts w:ascii="Arial" w:hAnsi="Arial" w:cs="Arial"/>
          <w:color w:val="444444"/>
        </w:rPr>
        <w:t>).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2.6.3.3. 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2.6.3.4. Для программного обеспечения системы приводят перечень покупных программных средств, а также требования: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к независимости программных средств от используемых СВТ и операционной среды;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к качеству программных средств, а также к способам его обеспечения и контроля;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по необходимости согласования вновь разрабатываемых программных средств с фондом алгоритмов и программ.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2.6.3.5. Для технического обеспечения системы приводят требования: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к функциональным, конструктивным и эксплуатационным характеристикам средств технического обеспечения системы.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2.6.3.6. В требованиях к метрологическому обеспечению приводят: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предварительный перечень измерительных каналов;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требования к точности измерений параметров и (или) к метрологическим характеристикам измерительных каналов;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требования к метрологической совместимости технических средств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4) перечень управляющих и вычислительных каналов системы, для которых необходимо оценивать </w:t>
      </w:r>
      <w:proofErr w:type="spellStart"/>
      <w:r>
        <w:rPr>
          <w:rFonts w:ascii="Arial" w:hAnsi="Arial" w:cs="Arial"/>
          <w:color w:val="444444"/>
        </w:rPr>
        <w:t>точностные</w:t>
      </w:r>
      <w:proofErr w:type="spellEnd"/>
      <w:r>
        <w:rPr>
          <w:rFonts w:ascii="Arial" w:hAnsi="Arial" w:cs="Arial"/>
          <w:color w:val="444444"/>
        </w:rPr>
        <w:t xml:space="preserve"> характеристики;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5)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2.6.3.7. Для организационного обеспечения приводят требования: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к структуре и функциям подразделений, участвующих в функционировании системы или обеспечивающих эксплуатацию;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к организации функционирования системы и порядку взаимодействия персонала АС и персонала объекта автоматизации;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к защите от ошибочных действий персонала системы.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2.6.3.8. Для методического обеспечения САПР приводят требования к составу нормативно-технической документации системы (перечень применяемых при ее функционировании стандартов, нормативов, методик и т.п.).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2.7. Раздел "Состав и содержание работ по созданию (развитию) системы" должен содержать перечень стадий и этапов работ по созданию системы в соответствии с ГОСТ 34.601,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данном разделе также приводят: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перечень документов по ГОСТ 34.201, предъявляемых по окончании соответствующих стадий и этапов работ;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вид и порядок проведения экспертизы технической документации (стадия, этап, объем проверяемой документации, организация-эксперт);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программу работ, направленных на обеспечение требуемого уровня надежности разрабатываемой системы (при необходимости);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2.8. В разделе "Порядок контроля и приемки системы" указывают: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3) статус приемочной комиссии (государственная, межведомственная, ведомственная).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2.9. В разделе "Требования к составу и содержанию работ по подготовке объекта автоматизации к вводу системы в действие"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перечень основных мероприятий включают: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>
        <w:rPr>
          <w:rFonts w:ascii="Arial" w:hAnsi="Arial" w:cs="Arial"/>
          <w:color w:val="444444"/>
        </w:rPr>
        <w:br/>
      </w:r>
    </w:p>
    <w:p w:rsidR="005043EB" w:rsidRDefault="005043EB" w:rsidP="005043EB">
      <w:pPr>
        <w:pStyle w:val="formattext"/>
        <w:spacing w:before="0" w:beforeAutospacing="0" w:after="0" w:afterAutospacing="0" w:line="330" w:lineRule="atLeast"/>
        <w:ind w:firstLine="480"/>
        <w:textAlignment w:val="baseline"/>
        <w:rPr>
          <w:rFonts w:ascii="Segoe UI" w:hAnsi="Segoe UI" w:cs="Segoe UI"/>
          <w:color w:val="3D3D3D"/>
          <w:sz w:val="18"/>
          <w:szCs w:val="18"/>
        </w:rPr>
      </w:pPr>
      <w:r>
        <w:rPr>
          <w:rFonts w:ascii="Arial" w:hAnsi="Arial" w:cs="Arial"/>
          <w:color w:val="444444"/>
        </w:rPr>
        <w:t>2) изменения, которые необходимо осуществить в объекте автоматизации;</w:t>
      </w:r>
    </w:p>
    <w:p w:rsidR="0036485F" w:rsidRPr="005043EB" w:rsidRDefault="0036485F" w:rsidP="005043EB"/>
    <w:sectPr w:rsidR="0036485F" w:rsidRPr="00504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349B"/>
    <w:multiLevelType w:val="multilevel"/>
    <w:tmpl w:val="AEC0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D755B"/>
    <w:multiLevelType w:val="multilevel"/>
    <w:tmpl w:val="E4AE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20"/>
    <w:rsid w:val="00275C20"/>
    <w:rsid w:val="0036485F"/>
    <w:rsid w:val="0050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951B"/>
  <w15:chartTrackingRefBased/>
  <w15:docId w15:val="{55F234E5-1269-4BE9-AC8E-3864DDB4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4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43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rmattext">
    <w:name w:val="formattext"/>
    <w:basedOn w:val="a"/>
    <w:rsid w:val="0050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043EB"/>
    <w:rPr>
      <w:color w:val="0000FF"/>
      <w:u w:val="single"/>
    </w:rPr>
  </w:style>
  <w:style w:type="paragraph" w:customStyle="1" w:styleId="headertext">
    <w:name w:val="headertext"/>
    <w:basedOn w:val="a"/>
    <w:rsid w:val="0050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43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43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043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043E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Strong"/>
    <w:basedOn w:val="a0"/>
    <w:uiPriority w:val="22"/>
    <w:qFormat/>
    <w:rsid w:val="005043EB"/>
    <w:rPr>
      <w:b/>
      <w:bCs/>
    </w:rPr>
  </w:style>
  <w:style w:type="character" w:customStyle="1" w:styleId="lt-chat-headertxt">
    <w:name w:val="lt-chat-header__txt"/>
    <w:basedOn w:val="a0"/>
    <w:rsid w:val="005043EB"/>
  </w:style>
  <w:style w:type="paragraph" w:customStyle="1" w:styleId="lt-phone-flipper-innertxt">
    <w:name w:val="lt-phone-flipper-inner__txt"/>
    <w:basedOn w:val="a"/>
    <w:rsid w:val="0050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t-label-blocktxt">
    <w:name w:val="lt-label-block__txt"/>
    <w:basedOn w:val="a0"/>
    <w:rsid w:val="0050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6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6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85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1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87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73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13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90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68658">
                                                  <w:marLeft w:val="3750"/>
                                                  <w:marRight w:val="295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80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1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4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6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4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BEBE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EBEBEB"/>
                                                  </w:divBdr>
                                                  <w:divsChild>
                                                    <w:div w:id="85553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1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779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87892">
                                                      <w:marLeft w:val="15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03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4" w:color="EBEBEB"/>
                                                            <w:left w:val="single" w:sz="6" w:space="19" w:color="EBEBEB"/>
                                                            <w:bottom w:val="single" w:sz="6" w:space="4" w:color="EBEBEB"/>
                                                            <w:right w:val="single" w:sz="6" w:space="4" w:color="EBEBEB"/>
                                                          </w:divBdr>
                                                        </w:div>
                                                        <w:div w:id="188424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4" w:color="EBEBEB"/>
                                                            <w:left w:val="single" w:sz="6" w:space="19" w:color="EBEBEB"/>
                                                            <w:bottom w:val="single" w:sz="6" w:space="4" w:color="EBEBEB"/>
                                                            <w:right w:val="single" w:sz="6" w:space="4" w:color="EBEB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600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BEBEB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9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2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607627">
                                                          <w:marLeft w:val="1734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13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352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24147">
                                                                  <w:marLeft w:val="0"/>
                                                                  <w:marRight w:val="405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47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70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404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6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96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4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4737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045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788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9449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25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33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0" w:color="auto"/>
                <w:right w:val="none" w:sz="0" w:space="8" w:color="auto"/>
              </w:divBdr>
              <w:divsChild>
                <w:div w:id="95151995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29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1200003827" TargetMode="External"/><Relationship Id="rId13" Type="http://schemas.openxmlformats.org/officeDocument/2006/relationships/hyperlink" Target="https://docs.cntd.ru/document/12000069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cntd.ru/document/1200006582" TargetMode="External"/><Relationship Id="rId12" Type="http://schemas.openxmlformats.org/officeDocument/2006/relationships/hyperlink" Target="https://docs.cntd.ru/document/120000764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cntd.ru/document/90108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ntd.ru/document/1200001260" TargetMode="External"/><Relationship Id="rId11" Type="http://schemas.openxmlformats.org/officeDocument/2006/relationships/hyperlink" Target="https://docs.cntd.ru/document/1200007648" TargetMode="External"/><Relationship Id="rId5" Type="http://schemas.openxmlformats.org/officeDocument/2006/relationships/hyperlink" Target="https://docs.cntd.ru/document/822906780" TargetMode="External"/><Relationship Id="rId15" Type="http://schemas.openxmlformats.org/officeDocument/2006/relationships/hyperlink" Target="https://docs.cntd.ru/document/1200042805" TargetMode="External"/><Relationship Id="rId10" Type="http://schemas.openxmlformats.org/officeDocument/2006/relationships/hyperlink" Target="https://docs.cntd.ru/document/90108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ntd.ru/document/1200012302" TargetMode="External"/><Relationship Id="rId14" Type="http://schemas.openxmlformats.org/officeDocument/2006/relationships/hyperlink" Target="https://docs.cntd.ru/document/12000123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3089</Words>
  <Characters>17613</Characters>
  <Application>Microsoft Office Word</Application>
  <DocSecurity>0</DocSecurity>
  <Lines>146</Lines>
  <Paragraphs>41</Paragraphs>
  <ScaleCrop>false</ScaleCrop>
  <Company/>
  <LinksUpToDate>false</LinksUpToDate>
  <CharactersWithSpaces>20661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2023-03-02T17:48:00Z</dcterms:created>
  <dcterms:modified xsi:type="dcterms:W3CDTF">2023-03-02T17:49:00Z</dcterms:modified>
</cp:coreProperties>
</file>