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1.1 — 2 October 2026</w:t>
      </w:r>
    </w:p>
    <w:p>
      <w:pPr>
        <w:spacing w:before="1600"/>
      </w:pPr>
      <w:r>
        <w:rPr>
          <w:i/>
          <w:iCs/>
          <w:color w:val="555555"/>
          <w:sz w:val="21"/>
          <w:szCs w:val="21"/>
        </w:rPr>
        <w:t xml:space="preserve">Status: complete and working on hardware. Clocks, RF converters and multi-tile sync, triggering, DMA readout and network streaming are verified on the ZCU111, and event data is being collected.</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thresholds etc. can be changed while events stream on port 5000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743575"/>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743575"/>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signal processing, ARM (PS) software, and the Ethernet client.</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and capture logic written in VHDL. All trigger and capture logic runs at 245.76 MHz and processes 16 samples per channel per clock cycle.</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capture length, arm/interrupt enables, status and counters (see docs/register_map.md). A level interrupt to the PS is asserted while at least one captured event is waiting.</w:t>
      </w:r>
    </w:p>
    <w:p>
      <w:pPr>
        <w:pStyle w:val="Heading2"/>
      </w:pPr>
      <w:r>
        <w:t xml:space="preserve">3.8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WNS +0.109 ns, WHS +0.010 ns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Setup slack +0.46 ns, hold slack +1.47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5.8 % LUTs, 3.3 % registers, 32 / 80 UltraRAM, 4 block RAM, 0 DSP</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22 configurations; full-system capture test verifies centring, sample continuity, cross-channel alignment, bank rotation and lost-trigger counting. On hardware: clock programming, MTS, triggering, DMA readout and network streaming confirmed on the ZCU111 (October 2026)</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 Because this boot image is about 110 MB uncompressed, larger than U-Boot’s default 100 MiB kernel limit, setup.sh raises CONFIG_SYS_BOOTM_LEN to 256 MiB.</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apply the saved configuration and arm the trigger.</w:t>
      </w:r>
    </w:p>
    <w:p>
      <w:pPr>
        <w:pStyle w:val="ListParagraph"/>
        <w:numPr>
          <w:ilvl w:val="0"/>
          <w:numId w:val="3"/>
        </w:numPr>
        <w:spacing w:after="60"/>
      </w:pPr>
      <w:r>
        <w:t xml:space="preserve">Open TCP port 5000 (event data) and TCP port 5001 (control)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Settings changed over the network take effect immediately; the SAVE command writes them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list commands</w:t>
            </w:r>
          </w:p>
        </w:tc>
      </w:tr>
    </w:tbl>
    <w:p>
      <w:pPr>
        <w:spacing w:after="120"/>
      </w:pPr>
    </w:p>
    <w:p>
      <w:pPr>
        <w:pStyle w:val="Heading2"/>
      </w:pPr>
      <w:r>
        <w:t xml:space="preserve">5.3  Python client</w:t>
      </w:r>
    </w:p>
    <w:p>
      <w:pPr>
        <w:spacing w:after="120" w:line="276"/>
      </w:pPr>
      <w:r>
        <w:t xml:space="preserve">The client library lunaclient (Python and numpy) provides an EventStream class that returns each event as an 8 × L numpy array with its metadata, a Control class for the commands, and the luna-client command line tool (status, set, watch, record to .npz files).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record -o data/</w:t>
      </w:r>
      <w:r>
        <w:t xml:space="preserve">.</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w:t>
      </w:r>
    </w:p>
    <w:p>
      <w:pPr>
        <w:pStyle w:val="ListParagraph"/>
        <w:numPr>
          <w:ilvl w:val="0"/>
          <w:numId w:val="4"/>
        </w:numPr>
        <w:spacing w:after="60"/>
      </w:pPr>
      <w:r>
        <w:t xml:space="preserve">Build the FPGA (about 1 hour):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w:t>
      </w:r>
    </w:p>
    <w:p>
      <w:pPr>
        <w:pStyle w:val="Heading2"/>
      </w:pPr>
      <w:r>
        <w:t xml:space="preserve">7.1  Bring-up checks</w:t>
      </w:r>
    </w:p>
    <w:p>
      <w:pPr>
        <w:spacing w:after="120" w:line="276"/>
      </w:pPr>
      <w:r>
        <w:t xml:space="preserve">Bring-up on the ZCU111 was completed in October 2026. The clocks, RF data converters and multi-tile synchronisation, threshold triggering, DMA readout and network streaming all work, and event data is being collected. The checks below remain the procedure for a new board or SD card.</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 simulation script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and luna-client command line tool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diagram, register map, network protocol</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2026-09-27T19:24:13.628Z</dcterms:modified>
</cp:coreProperties>
</file>

<file path=docProps/custom.xml><?xml version="1.0" encoding="utf-8"?>
<Properties xmlns="http://schemas.openxmlformats.org/officeDocument/2006/custom-properties" xmlns:vt="http://schemas.openxmlformats.org/officeDocument/2006/docPropsVTypes"/>
</file>