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SOLEIL LAKE CONDOMINIUM ASSOCIATION, INC</w:t>
      </w:r>
    </w:p>
    <w:p>
      <w:pPr>
        <w:spacing w:after="40"/>
        <w:jc w:val="center"/>
      </w:pPr>
      <w:r>
        <w:rPr>
          <w:b/>
          <w:i w:val="0"/>
          <w:sz w:val="20"/>
        </w:rPr>
        <w:t>NOTICE OF DELINQUENT ASSESSMENT — FIRST DEMAND LETTER</w:t>
      </w:r>
    </w:p>
    <w:p>
      <w:pPr>
        <w:spacing w:after="240"/>
        <w:jc w:val="center"/>
      </w:pPr>
      <w:r>
        <w:rPr>
          <w:b w:val="0"/>
          <w:i/>
          <w:sz w:val="16"/>
        </w:rPr>
        <w:t>Governed by Chapter 718, Florida Statutes (The Florida Condominium Act)</w:t>
      </w:r>
    </w:p>
    <w:p>
      <w:pPr>
        <w:spacing w:after="200"/>
      </w:pPr>
      <w:r>
        <w:rPr>
          <w:b w:val="0"/>
          <w:i w:val="0"/>
          <w:sz w:val="20"/>
        </w:rPr>
        <w:t>March 25, 2026</w:t>
      </w:r>
    </w:p>
    <w:p>
      <w:pPr>
        <w:spacing w:after="40"/>
      </w:pPr>
      <w:r>
        <w:rPr>
          <w:b w:val="0"/>
          <w:i w:val="0"/>
          <w:sz w:val="20"/>
        </w:rPr>
        <w:t>Wheaton Partners Llc</w:t>
      </w:r>
    </w:p>
    <w:p>
      <w:pPr>
        <w:spacing w:after="200"/>
      </w:pPr>
      <w:r>
        <w:rPr>
          <w:b w:val="0"/>
          <w:i w:val="0"/>
          <w:sz w:val="20"/>
        </w:rPr>
        <w:t>556 Nw 114 Avenue Unit 102</w:t>
      </w:r>
    </w:p>
    <w:p>
      <w:pPr>
        <w:spacing w:after="200"/>
      </w:pPr>
      <w:r>
        <w:rPr>
          <w:b/>
          <w:i w:val="0"/>
          <w:sz w:val="20"/>
        </w:rPr>
        <w:t>Re: Notice of Delinquent Assessments — Unit 556102, Soleil Lake Condominium Association, Inc</w:t>
        <w:br/>
        <w:t>Matter: #CC-8921</w:t>
      </w:r>
    </w:p>
    <w:p>
      <w:pPr>
        <w:spacing w:after="160"/>
      </w:pPr>
      <w:r>
        <w:rPr>
          <w:b w:val="0"/>
          <w:i w:val="0"/>
          <w:sz w:val="20"/>
        </w:rPr>
        <w:t>Dear Wheaton Partners Llc:</w:t>
      </w:r>
    </w:p>
    <w:p>
      <w:pPr>
        <w:spacing w:after="160"/>
      </w:pPr>
      <w:r>
        <w:rPr>
          <w:b w:val="0"/>
          <w:i w:val="0"/>
          <w:sz w:val="20"/>
        </w:rPr>
        <w:t>This letter constitutes formal notice that your account with Soleil Lake Condominium Association, Inc is delinquent for Condominium Unit 556102. This notice is issued pursuant to F.S. § 718.116(6)(b), Florida Statutes.</w:t>
      </w:r>
    </w:p>
    <w:p>
      <w:pPr>
        <w:spacing w:after="160"/>
      </w:pPr>
      <w:r>
        <w:rPr>
          <w:b w:val="0"/>
          <w:i w:val="0"/>
          <w:sz w:val="20"/>
        </w:rPr>
        <w:t>Pursuant to Section 718.116(6)(b), Florida Statutes, you are hereby notified that the assessment(s) referenced herein are now delinquent. The Association is entitled to collect all unpaid assessments, together with interest accruing at the rate of eighteen percent (18%) per annum, late charges, reasonable attorney's fees, and costs of collection as provided under Section 718.116(6)(a), Florida Statutes.</w:t>
      </w:r>
    </w:p>
    <w:p>
      <w:pPr>
        <w:spacing w:after="80"/>
      </w:pPr>
      <w:r>
        <w:rPr>
          <w:b/>
          <w:i w:val="0"/>
          <w:sz w:val="20"/>
        </w:rPr>
        <w:t>AMOUNT DUE SUMMARY</w:t>
      </w:r>
    </w:p>
    <w:tbl>
      <w:tblPr>
        <w:tblStyle w:val="TableGrid"/>
        <w:tblW w:type="auto" w:w="0"/>
        <w:tblLook w:firstColumn="1" w:firstRow="1" w:lastColumn="0" w:lastRow="0" w:noHBand="0" w:noVBand="1" w:val="04A0"/>
      </w:tblPr>
      <w:tblGrid>
        <w:gridCol w:w="4320"/>
        <w:gridCol w:w="4320"/>
      </w:tblGrid>
      <w:tr>
        <w:tc>
          <w:tcPr>
            <w:tcW w:type="dxa" w:w="4320"/>
          </w:tcPr>
          <w:p>
            <w:r>
              <w:rPr>
                <w:b w:val="0"/>
                <w:sz w:val="20"/>
              </w:rPr>
              <w:t>Maintenance due including April 1, 2026:</w:t>
            </w:r>
          </w:p>
        </w:tc>
        <w:tc>
          <w:tcPr>
            <w:tcW w:type="dxa" w:w="4320"/>
          </w:tcPr>
          <w:p>
            <w:r>
              <w:rPr>
                <w:b w:val="0"/>
                <w:sz w:val="20"/>
              </w:rPr>
              <w:t>$0.00</w:t>
            </w:r>
          </w:p>
        </w:tc>
      </w:tr>
      <w:tr>
        <w:tc>
          <w:tcPr>
            <w:tcW w:type="dxa" w:w="4320"/>
          </w:tcPr>
          <w:p>
            <w:r>
              <w:rPr>
                <w:b w:val="0"/>
                <w:sz w:val="20"/>
              </w:rPr>
              <w:t>Special assessments due including April 1, 2026:</w:t>
            </w:r>
          </w:p>
        </w:tc>
        <w:tc>
          <w:tcPr>
            <w:tcW w:type="dxa" w:w="4320"/>
          </w:tcPr>
          <w:p>
            <w:r>
              <w:rPr>
                <w:b w:val="0"/>
                <w:sz w:val="20"/>
              </w:rPr>
              <w:t>$0.00</w:t>
            </w:r>
          </w:p>
        </w:tc>
      </w:tr>
      <w:tr>
        <w:tc>
          <w:tcPr>
            <w:tcW w:type="dxa" w:w="4320"/>
          </w:tcPr>
          <w:p>
            <w:r>
              <w:rPr>
                <w:b w:val="0"/>
                <w:sz w:val="20"/>
              </w:rPr>
              <w:t>Late fees, if applicable:</w:t>
            </w:r>
          </w:p>
        </w:tc>
        <w:tc>
          <w:tcPr>
            <w:tcW w:type="dxa" w:w="4320"/>
          </w:tcPr>
          <w:p>
            <w:r>
              <w:rPr>
                <w:b w:val="0"/>
                <w:sz w:val="20"/>
              </w:rPr>
              <w:t>$0.00</w:t>
            </w:r>
          </w:p>
        </w:tc>
      </w:tr>
      <w:tr>
        <w:tc>
          <w:tcPr>
            <w:tcW w:type="dxa" w:w="4320"/>
          </w:tcPr>
          <w:p>
            <w:r>
              <w:rPr>
                <w:b w:val="0"/>
                <w:sz w:val="20"/>
              </w:rPr>
              <w:t>Other charges:</w:t>
            </w:r>
          </w:p>
        </w:tc>
        <w:tc>
          <w:tcPr>
            <w:tcW w:type="dxa" w:w="4320"/>
          </w:tcPr>
          <w:p>
            <w:r>
              <w:rPr>
                <w:b w:val="0"/>
                <w:sz w:val="20"/>
              </w:rPr>
              <w:t>$0.00</w:t>
            </w:r>
          </w:p>
        </w:tc>
      </w:tr>
      <w:tr>
        <w:tc>
          <w:tcPr>
            <w:tcW w:type="dxa" w:w="4320"/>
          </w:tcPr>
          <w:p>
            <w:r>
              <w:rPr>
                <w:b w:val="0"/>
                <w:sz w:val="20"/>
              </w:rPr>
              <w:t>Certified mail charges:</w:t>
            </w:r>
          </w:p>
        </w:tc>
        <w:tc>
          <w:tcPr>
            <w:tcW w:type="dxa" w:w="4320"/>
          </w:tcPr>
          <w:p>
            <w:r>
              <w:rPr>
                <w:b w:val="0"/>
                <w:sz w:val="20"/>
              </w:rPr>
              <w:t>$0.00</w:t>
            </w:r>
          </w:p>
        </w:tc>
      </w:tr>
      <w:tr>
        <w:tc>
          <w:tcPr>
            <w:tcW w:type="dxa" w:w="4320"/>
          </w:tcPr>
          <w:p>
            <w:r>
              <w:rPr>
                <w:b w:val="0"/>
                <w:sz w:val="20"/>
              </w:rPr>
              <w:t>Other costs:</w:t>
            </w:r>
          </w:p>
        </w:tc>
        <w:tc>
          <w:tcPr>
            <w:tcW w:type="dxa" w:w="4320"/>
          </w:tcPr>
          <w:p>
            <w:r>
              <w:rPr>
                <w:b w:val="0"/>
                <w:sz w:val="20"/>
              </w:rPr>
              <w:t>$0.00</w:t>
            </w:r>
          </w:p>
        </w:tc>
      </w:tr>
      <w:tr>
        <w:tc>
          <w:tcPr>
            <w:tcW w:type="dxa" w:w="4320"/>
          </w:tcPr>
          <w:p>
            <w:r>
              <w:rPr>
                <w:b w:val="0"/>
                <w:sz w:val="20"/>
              </w:rPr>
              <w:t>Attorney's fees:</w:t>
            </w:r>
          </w:p>
        </w:tc>
        <w:tc>
          <w:tcPr>
            <w:tcW w:type="dxa" w:w="4320"/>
          </w:tcPr>
          <w:p>
            <w:r>
              <w:rPr>
                <w:b w:val="0"/>
                <w:sz w:val="20"/>
              </w:rPr>
              <w:t>$0.00</w:t>
            </w:r>
          </w:p>
        </w:tc>
      </w:tr>
      <w:tr>
        <w:tc>
          <w:tcPr>
            <w:tcW w:type="dxa" w:w="4320"/>
          </w:tcPr>
          <w:p>
            <w:r>
              <w:rPr>
                <w:b w:val="0"/>
                <w:sz w:val="20"/>
              </w:rPr>
              <w:t>Partial Payment:</w:t>
            </w:r>
          </w:p>
        </w:tc>
        <w:tc>
          <w:tcPr>
            <w:tcW w:type="dxa" w:w="4320"/>
          </w:tcPr>
          <w:p>
            <w:r>
              <w:rPr>
                <w:b w:val="0"/>
                <w:sz w:val="20"/>
              </w:rPr>
              <w:t>$0.00</w:t>
            </w:r>
          </w:p>
        </w:tc>
      </w:tr>
      <w:tr>
        <w:tc>
          <w:tcPr>
            <w:tcW w:type="dxa" w:w="4320"/>
          </w:tcPr>
          <w:p>
            <w:r>
              <w:rPr>
                <w:b/>
                <w:sz w:val="22"/>
              </w:rPr>
              <w:t>TOTAL OUTSTANDING:</w:t>
            </w:r>
          </w:p>
        </w:tc>
        <w:tc>
          <w:tcPr>
            <w:tcW w:type="dxa" w:w="4320"/>
          </w:tcPr>
          <w:p>
            <w:r>
              <w:rPr>
                <w:b/>
                <w:sz w:val="22"/>
              </w:rPr>
              <w:t>$2,959.00</w:t>
            </w:r>
          </w:p>
        </w:tc>
      </w:tr>
    </w:tbl>
    <w:p/>
    <w:p>
      <w:pPr>
        <w:spacing w:after="160"/>
      </w:pPr>
      <w:r>
        <w:rPr>
          <w:b w:val="0"/>
          <w:i w:val="0"/>
          <w:sz w:val="20"/>
        </w:rPr>
        <w:t>Unless the total amount set forth herein is paid in full within 30 days of this notice, the Association will proceed to file a Claim of Lien against your unit pursuant to Section 718.116(5)(a), Florida Statutes, without further notice. After the lien is filed, the Association may bring an action to foreclose the lien in the manner provided by law for the foreclosure of mortgages.</w:t>
      </w:r>
    </w:p>
    <w:p>
      <w:pPr>
        <w:spacing w:after="160"/>
      </w:pPr>
      <w:r>
        <w:rPr>
          <w:b w:val="0"/>
          <w:i/>
          <w:sz w:val="18"/>
        </w:rPr>
        <w:t>First mortgagees: please note that certain safe harbor provisions may apply under F.S. § 718.116(1)(b).</w:t>
      </w:r>
    </w:p>
    <w:p>
      <w:pPr>
        <w:spacing w:after="240"/>
      </w:pPr>
      <w:r>
        <w:rPr>
          <w:b w:val="0"/>
          <w:i w:val="0"/>
          <w:sz w:val="20"/>
        </w:rPr>
        <w:t>To remit payment or to dispute any item reflected in the above balance, please contact this office in writing, referencing matter number #CC-8921. The due date for payment is within 30 calendar days of the date of this letter.</w:t>
      </w:r>
    </w:p>
    <w:p>
      <w:pPr>
        <w:spacing w:after="360"/>
      </w:pPr>
      <w:r>
        <w:rPr>
          <w:b w:val="0"/>
          <w:i w:val="0"/>
          <w:sz w:val="20"/>
        </w:rPr>
        <w:t>Sincerely,</w:t>
      </w:r>
    </w:p>
    <w:p>
      <w:pPr>
        <w:spacing w:after="40"/>
      </w:pPr>
      <w:r>
        <w:rPr>
          <w:b/>
          <w:i w:val="0"/>
          <w:sz w:val="20"/>
        </w:rPr>
        <w:t>Counsel for the Association</w:t>
      </w:r>
    </w:p>
    <w:p>
      <w:pPr>
        <w:spacing w:after="40"/>
      </w:pPr>
      <w:r>
        <w:rPr>
          <w:b w:val="0"/>
          <w:i w:val="0"/>
          <w:sz w:val="20"/>
        </w:rPr>
        <w:t>Association Counsel</w:t>
      </w:r>
    </w:p>
    <w:p>
      <w:pPr>
        <w:spacing w:after="240"/>
      </w:pPr>
      <w:r>
        <w:rPr>
          <w:b w:val="0"/>
          <w:i w:val="0"/>
          <w:sz w:val="20"/>
        </w:rPr>
        <w:t>Counsel for Soleil Lake Condominium Association, Inc</w:t>
      </w:r>
    </w:p>
    <w:p>
      <w:pPr>
        <w:spacing w:after="80"/>
      </w:pPr>
      <w:r>
        <w:rPr>
          <w:b w:val="0"/>
          <w:i/>
          <w:sz w:val="16"/>
        </w:rPr>
        <w:t>NOTICE: This communication is from a debt collector. Any information obtained will be used for that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