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E1B2A"/>
          <w:sz w:val="52"/>
          <w:szCs w:val="52"/>
        </w:rPr>
        <w:t xml:space="preserve">Detent Engage</w:t>
      </w:r>
    </w:p>
    <w:p>
      <w:pPr>
        <w:spacing w:after="240"/>
      </w:pPr>
      <w:r>
        <w:rPr>
          <w:color w:val="B4531A"/>
          <w:sz w:val="30"/>
          <w:szCs w:val="30"/>
        </w:rPr>
        <w:t xml:space="preserve">Go-live briefing and checklist</w:t>
      </w:r>
    </w:p>
    <w:p>
      <w:pPr>
        <w:spacing w:after="40"/>
      </w:pPr>
      <w:r>
        <w:rPr>
          <w:color w:val="5B6B7F"/>
          <w:sz w:val="21"/>
          <w:szCs w:val="21"/>
        </w:rPr>
        <w:t xml:space="preserve">For Tom and Tony  ·  19 September 2026</w:t>
      </w:r>
    </w:p>
    <w:p>
      <w:pPr>
        <w:spacing w:after="300"/>
      </w:pPr>
      <w:r>
        <w:rPr>
          <w:color w:val="5B6B7F"/>
          <w:sz w:val="21"/>
          <w:szCs w:val="21"/>
        </w:rPr>
        <w:t xml:space="preserve">Companion to the Go-Live Brief of September 2026</w:t>
      </w:r>
    </w:p>
    <w:p>
      <w:pPr>
        <w:pBdr>
          <w:bottom w:val="single" w:color="E3E8EF" w:sz="6"/>
        </w:pBdr>
        <w:spacing w:after="200" w:before="60"/>
      </w:pPr>
    </w:p>
    <w:p>
      <w:pPr>
        <w:spacing w:after="120" w:line="276"/>
      </w:pPr>
      <w:r>
        <w:rPr>
          <w:b/>
          <w:bCs/>
        </w:rPr>
        <w:t xml:space="preserve">Where this disagrees with the September brief, this document is right. </w:t>
      </w:r>
      <w:r>
        <w:t xml:space="preserve">That brief was written against a build that did not compile, and its opening instruction was that nothing should be deployed, demoed as production or sent to a pen tester until the build was green. That condition is now met.</w:t>
      </w:r>
    </w:p>
    <w:p>
      <w:pPr>
        <w:spacing w:after="200" w:line="276"/>
      </w:pPr>
      <w:r>
        <w:t xml:space="preserve">Owner split is a proposal. </w:t>
      </w:r>
      <w:r>
        <w:rPr>
          <w:b/>
          <w:bCs/>
        </w:rPr>
        <w:t xml:space="preserve">Tom</w:t>
      </w:r>
      <w:r>
        <w:t xml:space="preserve">: infrastructure, security operations, assurance. </w:t>
      </w:r>
      <w:r>
        <w:rPr>
          <w:b/>
          <w:bCs/>
        </w:rPr>
        <w:t xml:space="preserve">Tony</w:t>
      </w:r>
      <w:r>
        <w:t xml:space="preserve">: integrations, legal, commercial. </w:t>
      </w:r>
      <w:r>
        <w:rPr>
          <w:b/>
          <w:bCs/>
        </w:rPr>
        <w:t xml:space="preserve">Joint</w:t>
      </w:r>
      <w:r>
        <w:t xml:space="preserve"> means both sign.</w:t>
      </w:r>
    </w:p>
    <w:p>
      <w:pPr>
        <w:pStyle w:val="Heading1"/>
        <w:spacing w:after="160" w:before="320"/>
      </w:pPr>
      <w:r>
        <w:t xml:space="preserve">1. Where the product actually stands</w:t>
      </w:r>
    </w:p>
    <w:p>
      <w:pPr>
        <w:spacing w:after="120" w:line="276"/>
      </w:pPr>
      <w:r>
        <w:t xml:space="preserve">The engineering blockers in the September brief are closed. The build compiles, the full suite passes, and it has been verified against a real PostgreSQL and a real Redis rather than against fakes.</w:t>
      </w:r>
    </w:p>
    <w:tbl>
      <w:tblPr>
        <w:tblW w:type="dxa" w:w="9026"/>
        <w:tblBorders>
          <w:top w:val="single" w:color="E3E8EF" w:sz="2"/>
          <w:left w:val="none"/>
          <w:bottom w:val="single" w:color="E3E8EF" w:sz="2"/>
          <w:right w:val="none"/>
          <w:insideH w:val="single" w:color="E3E8EF" w:sz="2"/>
          <w:insideV w:val="none"/>
        </w:tblBorders>
      </w:tblPr>
      <w:tblGrid>
        <w:gridCol w:w="3200"/>
        <w:gridCol w:w="2700"/>
        <w:gridCol w:w="3126"/>
      </w:tblGrid>
      <w:tr>
        <w:trPr>
          <w:tblHeader/>
        </w:trPr>
        <w:tc>
          <w:tcPr>
            <w:tcW w:type="dxa" w:w="3200"/>
            <w:shd w:fill="F1F4F8" w:color="auto" w:val="clear"/>
            <w:tcMar>
              <w:top w:type="dxa" w:w="90"/>
              <w:left w:type="dxa" w:w="120"/>
              <w:bottom w:type="dxa" w:w="90"/>
              <w:right w:type="dxa" w:w="120"/>
            </w:tcMar>
          </w:tcPr>
          <w:p>
            <w:pPr>
              <w:spacing w:after="0" w:line="252"/>
            </w:pPr>
            <w:r>
              <w:rPr>
                <w:b/>
                <w:bCs/>
                <w:sz w:val="19"/>
                <w:szCs w:val="19"/>
              </w:rPr>
              <w:t xml:space="preserve">The brief said</w:t>
            </w:r>
          </w:p>
        </w:tc>
        <w:tc>
          <w:tcPr>
            <w:tcW w:type="dxa" w:w="2700"/>
            <w:shd w:fill="F1F4F8" w:color="auto" w:val="clear"/>
            <w:tcMar>
              <w:top w:type="dxa" w:w="90"/>
              <w:left w:type="dxa" w:w="120"/>
              <w:bottom w:type="dxa" w:w="90"/>
              <w:right w:type="dxa" w:w="120"/>
            </w:tcMar>
          </w:tcPr>
          <w:p>
            <w:pPr>
              <w:spacing w:after="0" w:line="252"/>
            </w:pPr>
            <w:r>
              <w:rPr>
                <w:b/>
                <w:bCs/>
                <w:sz w:val="19"/>
                <w:szCs w:val="19"/>
              </w:rPr>
              <w:t xml:space="preserve">Now</w:t>
            </w:r>
          </w:p>
        </w:tc>
        <w:tc>
          <w:tcPr>
            <w:tcW w:type="dxa" w:w="3126"/>
            <w:shd w:fill="F1F4F8" w:color="auto" w:val="clear"/>
            <w:tcMar>
              <w:top w:type="dxa" w:w="90"/>
              <w:left w:type="dxa" w:w="120"/>
              <w:bottom w:type="dxa" w:w="90"/>
              <w:right w:type="dxa" w:w="120"/>
            </w:tcMar>
          </w:tcPr>
          <w:p>
            <w:pPr>
              <w:spacing w:after="0" w:line="252"/>
            </w:pPr>
            <w:r>
              <w:rPr>
                <w:b/>
                <w:bCs/>
                <w:sz w:val="19"/>
                <w:szCs w:val="19"/>
              </w:rPr>
              <w:t xml:space="preserve">Evidence</w:t>
            </w:r>
          </w:p>
        </w:tc>
      </w:tr>
      <w:tr>
        <w:trPr>
          <w:tblHeader w:val="false"/>
        </w:trPr>
        <w:tc>
          <w:tcPr>
            <w:tcW w:type="dxa" w:w="3200"/>
            <w:tcMar>
              <w:top w:type="dxa" w:w="90"/>
              <w:left w:type="dxa" w:w="120"/>
              <w:bottom w:type="dxa" w:w="90"/>
              <w:right w:type="dxa" w:w="120"/>
            </w:tcMar>
          </w:tcPr>
          <w:p>
            <w:pPr>
              <w:spacing w:after="0" w:line="252"/>
            </w:pPr>
            <w:r>
              <w:rPr>
                <w:b w:val="false"/>
                <w:bCs w:val="false"/>
                <w:sz w:val="19"/>
                <w:szCs w:val="19"/>
              </w:rPr>
              <w:t xml:space="preserve">Does not typecheck; 58 of 587 tests fail</w:t>
            </w:r>
          </w:p>
        </w:tc>
        <w:tc>
          <w:tcPr>
            <w:tcW w:type="dxa" w:w="2700"/>
            <w:tcMar>
              <w:top w:type="dxa" w:w="90"/>
              <w:left w:type="dxa" w:w="120"/>
              <w:bottom w:type="dxa" w:w="90"/>
              <w:right w:type="dxa" w:w="120"/>
            </w:tcMar>
          </w:tcPr>
          <w:p>
            <w:pPr>
              <w:spacing w:after="0" w:line="252"/>
            </w:pPr>
            <w:r>
              <w:rPr>
                <w:b w:val="false"/>
                <w:bCs w:val="false"/>
                <w:sz w:val="19"/>
                <w:szCs w:val="19"/>
              </w:rPr>
              <w:t xml:space="preserve">Typechecks clean; 1,224 tests pass</w:t>
            </w:r>
          </w:p>
        </w:tc>
        <w:tc>
          <w:tcPr>
            <w:tcW w:type="dxa" w:w="3126"/>
            <w:tcMar>
              <w:top w:type="dxa" w:w="90"/>
              <w:left w:type="dxa" w:w="120"/>
              <w:bottom w:type="dxa" w:w="90"/>
              <w:right w:type="dxa" w:w="120"/>
            </w:tcMar>
          </w:tcPr>
          <w:p>
            <w:pPr>
              <w:spacing w:after="0" w:line="252"/>
            </w:pPr>
            <w:r>
              <w:rPr>
                <w:b w:val="false"/>
                <w:bCs w:val="false"/>
                <w:sz w:val="19"/>
                <w:szCs w:val="19"/>
              </w:rPr>
              <w:t xml:space="preserve">Zero skipped against real Postgres and Redis</w:t>
            </w:r>
          </w:p>
        </w:tc>
      </w:tr>
      <w:tr>
        <w:trPr>
          <w:tblHeader w:val="false"/>
        </w:trPr>
        <w:tc>
          <w:tcPr>
            <w:tcW w:type="dxa" w:w="3200"/>
            <w:tcMar>
              <w:top w:type="dxa" w:w="90"/>
              <w:left w:type="dxa" w:w="120"/>
              <w:bottom w:type="dxa" w:w="90"/>
              <w:right w:type="dxa" w:w="120"/>
            </w:tcMar>
          </w:tcPr>
          <w:p>
            <w:pPr>
              <w:spacing w:after="0" w:line="252"/>
            </w:pPr>
            <w:r>
              <w:rPr>
                <w:b w:val="false"/>
                <w:bCs w:val="false"/>
                <w:sz w:val="19"/>
                <w:szCs w:val="19"/>
              </w:rPr>
              <w:t xml:space="preserve">Nine packages not wired into the build</w:t>
            </w:r>
          </w:p>
        </w:tc>
        <w:tc>
          <w:tcPr>
            <w:tcW w:type="dxa" w:w="2700"/>
            <w:tcMar>
              <w:top w:type="dxa" w:w="90"/>
              <w:left w:type="dxa" w:w="120"/>
              <w:bottom w:type="dxa" w:w="90"/>
              <w:right w:type="dxa" w:w="120"/>
            </w:tcMar>
          </w:tcPr>
          <w:p>
            <w:pPr>
              <w:spacing w:after="0" w:line="252"/>
            </w:pPr>
            <w:r>
              <w:rPr>
                <w:b w:val="false"/>
                <w:bCs w:val="false"/>
                <w:sz w:val="19"/>
                <w:szCs w:val="19"/>
              </w:rPr>
              <w:t xml:space="preserve">Wired</w:t>
            </w:r>
          </w:p>
        </w:tc>
        <w:tc>
          <w:tcPr>
            <w:tcW w:type="dxa" w:w="3126"/>
            <w:tcMar>
              <w:top w:type="dxa" w:w="90"/>
              <w:left w:type="dxa" w:w="120"/>
              <w:bottom w:type="dxa" w:w="90"/>
              <w:right w:type="dxa" w:w="120"/>
            </w:tcMar>
          </w:tcPr>
          <w:p>
            <w:pPr>
              <w:spacing w:after="0" w:line="252"/>
            </w:pPr>
            <w:r>
              <w:rPr>
                <w:b w:val="false"/>
                <w:bCs w:val="false"/>
                <w:sz w:val="19"/>
                <w:szCs w:val="19"/>
              </w:rPr>
              <w:t xml:space="preserve">22 test files that never loaded now run, which is where the missing 600 tests were</w:t>
            </w:r>
          </w:p>
        </w:tc>
      </w:tr>
      <w:tr>
        <w:trPr>
          <w:tblHeader w:val="false"/>
        </w:trPr>
        <w:tc>
          <w:tcPr>
            <w:tcW w:type="dxa" w:w="3200"/>
            <w:tcMar>
              <w:top w:type="dxa" w:w="90"/>
              <w:left w:type="dxa" w:w="120"/>
              <w:bottom w:type="dxa" w:w="90"/>
              <w:right w:type="dxa" w:w="120"/>
            </w:tcMar>
          </w:tcPr>
          <w:p>
            <w:pPr>
              <w:spacing w:after="0" w:line="252"/>
            </w:pPr>
            <w:r>
              <w:rPr>
                <w:b w:val="false"/>
                <w:bCs w:val="false"/>
                <w:sz w:val="19"/>
                <w:szCs w:val="19"/>
              </w:rPr>
              <w:t xml:space="preserve">No way to run it durably</w:t>
            </w:r>
          </w:p>
        </w:tc>
        <w:tc>
          <w:tcPr>
            <w:tcW w:type="dxa" w:w="2700"/>
            <w:tcMar>
              <w:top w:type="dxa" w:w="90"/>
              <w:left w:type="dxa" w:w="120"/>
              <w:bottom w:type="dxa" w:w="90"/>
              <w:right w:type="dxa" w:w="120"/>
            </w:tcMar>
          </w:tcPr>
          <w:p>
            <w:pPr>
              <w:spacing w:after="0" w:line="252"/>
            </w:pPr>
            <w:r>
              <w:rPr>
                <w:b w:val="false"/>
                <w:bCs w:val="false"/>
                <w:sz w:val="19"/>
                <w:szCs w:val="19"/>
              </w:rPr>
              <w:t xml:space="preserve">Production entry point</w:t>
            </w:r>
          </w:p>
        </w:tc>
        <w:tc>
          <w:tcPr>
            <w:tcW w:type="dxa" w:w="3126"/>
            <w:tcMar>
              <w:top w:type="dxa" w:w="90"/>
              <w:left w:type="dxa" w:w="120"/>
              <w:bottom w:type="dxa" w:w="90"/>
              <w:right w:type="dxa" w:w="120"/>
            </w:tcMar>
          </w:tcPr>
          <w:p>
            <w:pPr>
              <w:spacing w:after="0" w:line="252"/>
            </w:pPr>
            <w:r>
              <w:rPr>
                <w:b w:val="false"/>
                <w:bCs w:val="false"/>
                <w:sz w:val="19"/>
                <w:szCs w:val="19"/>
              </w:rPr>
              <w:t xml:space="preserve">Refuses to start on a missing secret or unreachable database; durability measured from the stores, not declared</w:t>
            </w:r>
          </w:p>
        </w:tc>
      </w:tr>
      <w:tr>
        <w:trPr>
          <w:tblHeader w:val="false"/>
        </w:trPr>
        <w:tc>
          <w:tcPr>
            <w:tcW w:type="dxa" w:w="3200"/>
            <w:tcMar>
              <w:top w:type="dxa" w:w="90"/>
              <w:left w:type="dxa" w:w="120"/>
              <w:bottom w:type="dxa" w:w="90"/>
              <w:right w:type="dxa" w:w="120"/>
            </w:tcMar>
          </w:tcPr>
          <w:p>
            <w:pPr>
              <w:spacing w:after="0" w:line="252"/>
            </w:pPr>
            <w:r>
              <w:rPr>
                <w:b w:val="false"/>
                <w:bCs w:val="false"/>
                <w:sz w:val="19"/>
                <w:szCs w:val="19"/>
              </w:rPr>
              <w:t xml:space="preserve">Migrations would fail on managed Postgres</w:t>
            </w:r>
          </w:p>
        </w:tc>
        <w:tc>
          <w:tcPr>
            <w:tcW w:type="dxa" w:w="2700"/>
            <w:tcMar>
              <w:top w:type="dxa" w:w="90"/>
              <w:left w:type="dxa" w:w="120"/>
              <w:bottom w:type="dxa" w:w="90"/>
              <w:right w:type="dxa" w:w="120"/>
            </w:tcMar>
          </w:tcPr>
          <w:p>
            <w:pPr>
              <w:spacing w:after="0" w:line="252"/>
            </w:pPr>
            <w:r>
              <w:rPr>
                <w:b w:val="false"/>
                <w:bCs w:val="false"/>
                <w:sz w:val="19"/>
                <w:szCs w:val="19"/>
              </w:rPr>
              <w:t xml:space="preserve">Verified on PostgreSQL 16</w:t>
            </w:r>
          </w:p>
        </w:tc>
        <w:tc>
          <w:tcPr>
            <w:tcW w:type="dxa" w:w="3126"/>
            <w:tcMar>
              <w:top w:type="dxa" w:w="90"/>
              <w:left w:type="dxa" w:w="120"/>
              <w:bottom w:type="dxa" w:w="90"/>
              <w:right w:type="dxa" w:w="120"/>
            </w:tcMar>
          </w:tcPr>
          <w:p>
            <w:pPr>
              <w:spacing w:after="0" w:line="252"/>
            </w:pPr>
            <w:r>
              <w:rPr>
                <w:b w:val="false"/>
                <w:bCs w:val="false"/>
                <w:sz w:val="19"/>
                <w:szCs w:val="19"/>
              </w:rPr>
              <w:t xml:space="preserve">Apply, re-apply as a no-op, recover a lost version ledger, and apply as a role that cannot create roles</w:t>
            </w:r>
          </w:p>
        </w:tc>
      </w:tr>
      <w:tr>
        <w:trPr>
          <w:tblHeader w:val="false"/>
        </w:trPr>
        <w:tc>
          <w:tcPr>
            <w:tcW w:type="dxa" w:w="3200"/>
            <w:tcMar>
              <w:top w:type="dxa" w:w="90"/>
              <w:left w:type="dxa" w:w="120"/>
              <w:bottom w:type="dxa" w:w="90"/>
              <w:right w:type="dxa" w:w="120"/>
            </w:tcMar>
          </w:tcPr>
          <w:p>
            <w:pPr>
              <w:spacing w:after="0" w:line="252"/>
            </w:pPr>
            <w:r>
              <w:rPr>
                <w:b w:val="false"/>
                <w:bCs w:val="false"/>
                <w:sz w:val="19"/>
                <w:szCs w:val="19"/>
              </w:rPr>
              <w:t xml:space="preserve">Redis rate limiting open</w:t>
            </w:r>
          </w:p>
        </w:tc>
        <w:tc>
          <w:tcPr>
            <w:tcW w:type="dxa" w:w="2700"/>
            <w:tcMar>
              <w:top w:type="dxa" w:w="90"/>
              <w:left w:type="dxa" w:w="120"/>
              <w:bottom w:type="dxa" w:w="90"/>
              <w:right w:type="dxa" w:w="120"/>
            </w:tcMar>
          </w:tcPr>
          <w:p>
            <w:pPr>
              <w:spacing w:after="0" w:line="252"/>
            </w:pPr>
            <w:r>
              <w:rPr>
                <w:b w:val="false"/>
                <w:bCs w:val="false"/>
                <w:sz w:val="19"/>
                <w:szCs w:val="19"/>
              </w:rPr>
              <w:t xml:space="preserve">Implemented</w:t>
            </w:r>
          </w:p>
        </w:tc>
        <w:tc>
          <w:tcPr>
            <w:tcW w:type="dxa" w:w="3126"/>
            <w:tcMar>
              <w:top w:type="dxa" w:w="90"/>
              <w:left w:type="dxa" w:w="120"/>
              <w:bottom w:type="dxa" w:w="90"/>
              <w:right w:type="dxa" w:w="120"/>
            </w:tcMar>
          </w:tcPr>
          <w:p>
            <w:pPr>
              <w:spacing w:after="0" w:line="252"/>
            </w:pPr>
            <w:r>
              <w:rPr>
                <w:b w:val="false"/>
                <w:bCs w:val="false"/>
                <w:sz w:val="19"/>
                <w:szCs w:val="19"/>
              </w:rPr>
              <w:t xml:space="preserve">Needs a managed Redis (A4) to switch on</w:t>
            </w:r>
          </w:p>
        </w:tc>
      </w:tr>
      <w:tr>
        <w:trPr>
          <w:tblHeader w:val="false"/>
        </w:trPr>
        <w:tc>
          <w:tcPr>
            <w:tcW w:type="dxa" w:w="3200"/>
            <w:tcMar>
              <w:top w:type="dxa" w:w="90"/>
              <w:left w:type="dxa" w:w="120"/>
              <w:bottom w:type="dxa" w:w="90"/>
              <w:right w:type="dxa" w:w="120"/>
            </w:tcMar>
          </w:tcPr>
          <w:p>
            <w:pPr>
              <w:spacing w:after="0" w:line="252"/>
            </w:pPr>
            <w:r>
              <w:rPr>
                <w:b w:val="false"/>
                <w:bCs w:val="false"/>
                <w:sz w:val="19"/>
                <w:szCs w:val="19"/>
              </w:rPr>
              <w:t xml:space="preserve">Admin MFA open</w:t>
            </w:r>
          </w:p>
        </w:tc>
        <w:tc>
          <w:tcPr>
            <w:tcW w:type="dxa" w:w="2700"/>
            <w:tcMar>
              <w:top w:type="dxa" w:w="90"/>
              <w:left w:type="dxa" w:w="120"/>
              <w:bottom w:type="dxa" w:w="90"/>
              <w:right w:type="dxa" w:w="120"/>
            </w:tcMar>
          </w:tcPr>
          <w:p>
            <w:pPr>
              <w:spacing w:after="0" w:line="252"/>
            </w:pPr>
            <w:r>
              <w:rPr>
                <w:b w:val="false"/>
                <w:bCs w:val="false"/>
                <w:sz w:val="19"/>
                <w:szCs w:val="19"/>
              </w:rPr>
              <w:t xml:space="preserve">TOTP implemented</w:t>
            </w:r>
          </w:p>
        </w:tc>
        <w:tc>
          <w:tcPr>
            <w:tcW w:type="dxa" w:w="3126"/>
            <w:tcMar>
              <w:top w:type="dxa" w:w="90"/>
              <w:left w:type="dxa" w:w="120"/>
              <w:bottom w:type="dxa" w:w="90"/>
              <w:right w:type="dxa" w:w="120"/>
            </w:tcMar>
          </w:tcPr>
          <w:p>
            <w:pPr>
              <w:spacing w:after="0" w:line="252"/>
            </w:pPr>
            <w:r>
              <w:rPr>
                <w:b w:val="false"/>
                <w:bCs w:val="false"/>
                <w:sz w:val="19"/>
                <w:szCs w:val="19"/>
              </w:rPr>
              <w:t xml:space="preserve">Verified against the RFC 6238 test vectors, so it works with the authenticator apps people already have</w:t>
            </w:r>
          </w:p>
        </w:tc>
      </w:tr>
      <w:tr>
        <w:trPr>
          <w:tblHeader w:val="false"/>
        </w:trPr>
        <w:tc>
          <w:tcPr>
            <w:tcW w:type="dxa" w:w="3200"/>
            <w:tcMar>
              <w:top w:type="dxa" w:w="90"/>
              <w:left w:type="dxa" w:w="120"/>
              <w:bottom w:type="dxa" w:w="90"/>
              <w:right w:type="dxa" w:w="120"/>
            </w:tcMar>
          </w:tcPr>
          <w:p>
            <w:pPr>
              <w:spacing w:after="0" w:line="252"/>
            </w:pPr>
            <w:r>
              <w:rPr>
                <w:b w:val="false"/>
                <w:bCs w:val="false"/>
                <w:sz w:val="19"/>
                <w:szCs w:val="19"/>
              </w:rPr>
              <w:t xml:space="preserve">Live-Postgres CI open</w:t>
            </w:r>
          </w:p>
        </w:tc>
        <w:tc>
          <w:tcPr>
            <w:tcW w:type="dxa" w:w="2700"/>
            <w:tcMar>
              <w:top w:type="dxa" w:w="90"/>
              <w:left w:type="dxa" w:w="120"/>
              <w:bottom w:type="dxa" w:w="90"/>
              <w:right w:type="dxa" w:w="120"/>
            </w:tcMar>
          </w:tcPr>
          <w:p>
            <w:pPr>
              <w:spacing w:after="0" w:line="252"/>
            </w:pPr>
            <w:r>
              <w:rPr>
                <w:b w:val="false"/>
                <w:bCs w:val="false"/>
                <w:sz w:val="19"/>
                <w:szCs w:val="19"/>
              </w:rPr>
              <w:t xml:space="preserve">Four CI jobs</w:t>
            </w:r>
          </w:p>
        </w:tc>
        <w:tc>
          <w:tcPr>
            <w:tcW w:type="dxa" w:w="3126"/>
            <w:tcMar>
              <w:top w:type="dxa" w:w="90"/>
              <w:left w:type="dxa" w:w="120"/>
              <w:bottom w:type="dxa" w:w="90"/>
              <w:right w:type="dxa" w:w="120"/>
            </w:tcMar>
          </w:tcPr>
          <w:p>
            <w:pPr>
              <w:spacing w:after="0" w:line="252"/>
            </w:pPr>
            <w:r>
              <w:rPr>
                <w:b w:val="false"/>
                <w:bCs w:val="false"/>
                <w:sz w:val="19"/>
                <w:szCs w:val="19"/>
              </w:rPr>
              <w:t xml:space="preserve">Includes the suite under a role that cannot bypass row-level security</w:t>
            </w:r>
          </w:p>
        </w:tc>
      </w:tr>
    </w:tbl>
    <w:p>
      <w:pPr>
        <w:pStyle w:val="Heading2"/>
        <w:spacing w:after="120" w:before="260"/>
      </w:pPr>
      <w:r>
        <w:t xml:space="preserve">Three findings the September brief did not contain</w:t>
      </w:r>
    </w:p>
    <w:p>
      <w:pPr>
        <w:spacing w:after="120" w:line="276"/>
      </w:pPr>
      <w:r>
        <w:t xml:space="preserve">Two are closed. One is the remaining pilot blocker.</w:t>
      </w:r>
    </w:p>
    <w:p>
      <w:pPr>
        <w:pStyle w:val="ListParagraph"/>
        <w:numPr>
          <w:ilvl w:val="0"/>
          <w:numId w:val="2"/>
        </w:numPr>
        <w:spacing w:after="80" w:line="276"/>
      </w:pPr>
      <w:r>
        <w:rPr>
          <w:b/>
          <w:bCs/>
        </w:rPr>
        <w:t xml:space="preserve">The websites were never served. </w:t>
      </w:r>
      <w:r>
        <w:t xml:space="preserve">The entry point mounted the API and nothing else, so every sign-in page, the staff console, the customer area and the reseller portal returned 404 in every deployment. </w:t>
      </w:r>
      <w:r>
        <w:rPr>
          <w:b/>
          <w:bCs/>
          <w:color w:val="1E7A4B"/>
        </w:rPr>
        <w:t xml:space="preserve">Closed.</w:t>
      </w:r>
    </w:p>
    <w:p>
      <w:pPr>
        <w:pStyle w:val="ListParagraph"/>
        <w:numPr>
          <w:ilvl w:val="0"/>
          <w:numId w:val="2"/>
        </w:numPr>
        <w:spacing w:after="80" w:line="276"/>
      </w:pPr>
      <w:r>
        <w:rPr>
          <w:b/>
          <w:bCs/>
        </w:rPr>
        <w:t xml:space="preserve">Five tenant-scoped tables had no row-level security at all </w:t>
      </w:r>
      <w:r>
        <w:t xml:space="preserve">(auth_user, account, subscription, invoice, support_request). </w:t>
      </w:r>
      <w:r>
        <w:rPr>
          <w:b/>
          <w:bCs/>
          <w:color w:val="1E7A4B"/>
        </w:rPr>
        <w:t xml:space="preserve">Closed for every tenant-bound path; see risk R2.</w:t>
      </w:r>
    </w:p>
    <w:p>
      <w:pPr>
        <w:pStyle w:val="ListParagraph"/>
        <w:numPr>
          <w:ilvl w:val="0"/>
          <w:numId w:val="2"/>
        </w:numPr>
        <w:spacing w:after="80" w:line="276"/>
      </w:pPr>
      <w:r>
        <w:rPr>
          <w:b/>
          <w:bCs/>
        </w:rPr>
        <w:t xml:space="preserve">API keys are held in memory and lost on every restart. </w:t>
      </w:r>
      <w:r>
        <w:rPr>
          <w:b/>
          <w:bCs/>
          <w:color w:val="B4531A"/>
        </w:rPr>
        <w:t xml:space="preserve">Open. This is the one thing that will visibly break a pilot customer. See E1 and risk R1.</w:t>
      </w:r>
    </w:p>
    <w:p>
      <w:r>
        <w:br w:type="page"/>
      </w:r>
    </w:p>
    <w:p>
      <w:pPr>
        <w:pStyle w:val="Heading1"/>
        <w:spacing w:after="160" w:before="320"/>
      </w:pPr>
      <w:r>
        <w:t xml:space="preserve">2. Engineering, before a pilot</w:t>
      </w:r>
    </w:p>
    <w:p>
      <w:pPr>
        <w:spacing w:after="120" w:line="276"/>
      </w:pPr>
      <w:r>
        <w:t xml:space="preserve">Tom to schedule. These are code items, not procurement, and none of them waits on a vendor.</w:t>
      </w:r>
    </w:p>
    <w:tbl>
      <w:tblPr>
        <w:tblW w:type="dxa" w:w="9026"/>
        <w:tblBorders>
          <w:top w:val="single" w:color="E3E8EF" w:sz="2"/>
          <w:left w:val="none"/>
          <w:bottom w:val="single" w:color="E3E8EF" w:sz="2"/>
          <w:right w:val="none"/>
          <w:insideH w:val="single" w:color="E3E8EF" w:sz="2"/>
          <w:insideV w:val="none"/>
        </w:tblBorders>
      </w:tblPr>
      <w:tblGrid>
        <w:gridCol w:w="700"/>
        <w:gridCol w:w="3600"/>
        <w:gridCol w:w="3526"/>
        <w:gridCol w:w="1200"/>
      </w:tblGrid>
      <w:tr>
        <w:trPr>
          <w:tblHeader/>
        </w:trPr>
        <w:tc>
          <w:tcPr>
            <w:tcW w:type="dxa" w:w="700"/>
            <w:shd w:fill="F1F4F8" w:color="auto" w:val="clear"/>
            <w:tcMar>
              <w:top w:type="dxa" w:w="90"/>
              <w:left w:type="dxa" w:w="120"/>
              <w:bottom w:type="dxa" w:w="90"/>
              <w:right w:type="dxa" w:w="120"/>
            </w:tcMar>
          </w:tcPr>
          <w:p>
            <w:pPr>
              <w:spacing w:after="0" w:line="252"/>
            </w:pPr>
            <w:r>
              <w:rPr>
                <w:b/>
                <w:bCs/>
                <w:sz w:val="19"/>
                <w:szCs w:val="19"/>
              </w:rPr>
              <w:t xml:space="preserve">#</w:t>
            </w:r>
          </w:p>
        </w:tc>
        <w:tc>
          <w:tcPr>
            <w:tcW w:type="dxa" w:w="3600"/>
            <w:shd w:fill="F1F4F8" w:color="auto" w:val="clear"/>
            <w:tcMar>
              <w:top w:type="dxa" w:w="90"/>
              <w:left w:type="dxa" w:w="120"/>
              <w:bottom w:type="dxa" w:w="90"/>
              <w:right w:type="dxa" w:w="120"/>
            </w:tcMar>
          </w:tcPr>
          <w:p>
            <w:pPr>
              <w:spacing w:after="0" w:line="252"/>
            </w:pPr>
            <w:r>
              <w:rPr>
                <w:b/>
                <w:bCs/>
                <w:sz w:val="19"/>
                <w:szCs w:val="19"/>
              </w:rPr>
              <w:t xml:space="preserve">Item</w:t>
            </w:r>
          </w:p>
        </w:tc>
        <w:tc>
          <w:tcPr>
            <w:tcW w:type="dxa" w:w="3526"/>
            <w:shd w:fill="F1F4F8" w:color="auto" w:val="clear"/>
            <w:tcMar>
              <w:top w:type="dxa" w:w="90"/>
              <w:left w:type="dxa" w:w="120"/>
              <w:bottom w:type="dxa" w:w="90"/>
              <w:right w:type="dxa" w:w="120"/>
            </w:tcMar>
          </w:tcPr>
          <w:p>
            <w:pPr>
              <w:spacing w:after="0" w:line="252"/>
            </w:pPr>
            <w:r>
              <w:rPr>
                <w:b/>
                <w:bCs/>
                <w:sz w:val="19"/>
                <w:szCs w:val="19"/>
              </w:rPr>
              <w:t xml:space="preserve">Why it blocks</w:t>
            </w:r>
          </w:p>
        </w:tc>
        <w:tc>
          <w:tcPr>
            <w:tcW w:type="dxa" w:w="1200"/>
            <w:shd w:fill="F1F4F8" w:color="auto" w:val="clear"/>
            <w:tcMar>
              <w:top w:type="dxa" w:w="90"/>
              <w:left w:type="dxa" w:w="120"/>
              <w:bottom w:type="dxa" w:w="90"/>
              <w:right w:type="dxa" w:w="120"/>
            </w:tcMar>
          </w:tcPr>
          <w:p>
            <w:pPr>
              <w:spacing w:after="0" w:line="252"/>
            </w:pPr>
            <w:r>
              <w:rPr>
                <w:b/>
                <w:bCs/>
                <w:sz w:val="19"/>
                <w:szCs w:val="19"/>
              </w:rPr>
              <w:t xml:space="preserve">Effort</w:t>
            </w:r>
          </w:p>
        </w:tc>
      </w:tr>
      <w:tr>
        <w:trPr>
          <w:tblHeader w:val="false"/>
        </w:trPr>
        <w:tc>
          <w:tcPr>
            <w:tcW w:type="dxa" w:w="700"/>
            <w:shd w:fill="FCF3EC" w:color="auto" w:val="clear"/>
            <w:tcMar>
              <w:top w:type="dxa" w:w="90"/>
              <w:left w:type="dxa" w:w="120"/>
              <w:bottom w:type="dxa" w:w="90"/>
              <w:right w:type="dxa" w:w="120"/>
            </w:tcMar>
          </w:tcPr>
          <w:p>
            <w:pPr>
              <w:spacing w:after="0" w:line="252"/>
            </w:pPr>
            <w:r>
              <w:rPr>
                <w:b w:val="false"/>
                <w:bCs w:val="false"/>
                <w:sz w:val="19"/>
                <w:szCs w:val="19"/>
              </w:rPr>
              <w:t xml:space="preserve">E1</w:t>
            </w:r>
          </w:p>
        </w:tc>
        <w:tc>
          <w:tcPr>
            <w:tcW w:type="dxa" w:w="3600"/>
            <w:shd w:fill="FCF3EC" w:color="auto" w:val="clear"/>
            <w:tcMar>
              <w:top w:type="dxa" w:w="90"/>
              <w:left w:type="dxa" w:w="120"/>
              <w:bottom w:type="dxa" w:w="90"/>
              <w:right w:type="dxa" w:w="120"/>
            </w:tcMar>
          </w:tcPr>
          <w:p>
            <w:pPr>
              <w:spacing w:after="0" w:line="252"/>
            </w:pPr>
            <w:r>
              <w:rPr>
                <w:b w:val="false"/>
                <w:bCs w:val="false"/>
                <w:sz w:val="19"/>
                <w:szCs w:val="19"/>
              </w:rPr>
              <w:t xml:space="preserve">Persist API keys to the api_key table, which already exists and is unused, and add a console route to issue the first server key</w:t>
            </w:r>
          </w:p>
        </w:tc>
        <w:tc>
          <w:tcPr>
            <w:tcW w:type="dxa" w:w="3526"/>
            <w:shd w:fill="FCF3EC" w:color="auto" w:val="clear"/>
            <w:tcMar>
              <w:top w:type="dxa" w:w="90"/>
              <w:left w:type="dxa" w:w="120"/>
              <w:bottom w:type="dxa" w:w="90"/>
              <w:right w:type="dxa" w:w="120"/>
            </w:tcMar>
          </w:tcPr>
          <w:p>
            <w:pPr>
              <w:spacing w:after="0" w:line="252"/>
            </w:pPr>
            <w:r>
              <w:rPr>
                <w:b w:val="false"/>
                <w:bCs w:val="false"/>
                <w:sz w:val="19"/>
                <w:szCs w:val="19"/>
              </w:rPr>
              <w:t xml:space="preserve">Every embedded widget stops working on every redeploy. The customer notices before we do</w:t>
            </w:r>
          </w:p>
        </w:tc>
        <w:tc>
          <w:tcPr>
            <w:tcW w:type="dxa" w:w="1200"/>
            <w:shd w:fill="FCF3EC" w:color="auto" w:val="clear"/>
            <w:tcMar>
              <w:top w:type="dxa" w:w="90"/>
              <w:left w:type="dxa" w:w="120"/>
              <w:bottom w:type="dxa" w:w="90"/>
              <w:right w:type="dxa" w:w="120"/>
            </w:tcMar>
          </w:tcPr>
          <w:p>
            <w:pPr>
              <w:spacing w:after="0" w:line="252"/>
            </w:pPr>
            <w:r>
              <w:rPr>
                <w:b w:val="false"/>
                <w:bCs w:val="false"/>
                <w:sz w:val="19"/>
                <w:szCs w:val="19"/>
              </w:rPr>
              <w:t xml:space="preserve">1 session</w:t>
            </w:r>
          </w:p>
        </w:tc>
      </w:tr>
      <w:tr>
        <w:trPr>
          <w:tblHeader w:val="false"/>
        </w:trPr>
        <w:tc>
          <w:tcPr>
            <w:tcW w:type="dxa" w:w="700"/>
            <w:shd w:fill="FCF3EC" w:color="auto" w:val="clear"/>
            <w:tcMar>
              <w:top w:type="dxa" w:w="90"/>
              <w:left w:type="dxa" w:w="120"/>
              <w:bottom w:type="dxa" w:w="90"/>
              <w:right w:type="dxa" w:w="120"/>
            </w:tcMar>
          </w:tcPr>
          <w:p>
            <w:pPr>
              <w:spacing w:after="0" w:line="252"/>
            </w:pPr>
            <w:r>
              <w:rPr>
                <w:b w:val="false"/>
                <w:bCs w:val="false"/>
                <w:sz w:val="19"/>
                <w:szCs w:val="19"/>
              </w:rPr>
              <w:t xml:space="preserve">E2</w:t>
            </w:r>
          </w:p>
        </w:tc>
        <w:tc>
          <w:tcPr>
            <w:tcW w:type="dxa" w:w="3600"/>
            <w:shd w:fill="FCF3EC" w:color="auto" w:val="clear"/>
            <w:tcMar>
              <w:top w:type="dxa" w:w="90"/>
              <w:left w:type="dxa" w:w="120"/>
              <w:bottom w:type="dxa" w:w="90"/>
              <w:right w:type="dxa" w:w="120"/>
            </w:tcMar>
          </w:tcPr>
          <w:p>
            <w:pPr>
              <w:spacing w:after="0" w:line="252"/>
            </w:pPr>
            <w:r>
              <w:rPr>
                <w:b w:val="false"/>
                <w:bCs w:val="false"/>
                <w:sz w:val="19"/>
                <w:szCs w:val="19"/>
              </w:rPr>
              <w:t xml:space="preserve">Console user management screen: create, set role, disable, end sessions</w:t>
            </w:r>
          </w:p>
        </w:tc>
        <w:tc>
          <w:tcPr>
            <w:tcW w:type="dxa" w:w="3526"/>
            <w:shd w:fill="FCF3EC" w:color="auto" w:val="clear"/>
            <w:tcMar>
              <w:top w:type="dxa" w:w="90"/>
              <w:left w:type="dxa" w:w="120"/>
              <w:bottom w:type="dxa" w:w="90"/>
              <w:right w:type="dxa" w:w="120"/>
            </w:tcMar>
          </w:tcPr>
          <w:p>
            <w:pPr>
              <w:spacing w:after="0" w:line="252"/>
            </w:pPr>
            <w:r>
              <w:rPr>
                <w:b w:val="false"/>
                <w:bCs w:val="false"/>
                <w:sz w:val="19"/>
                <w:szCs w:val="19"/>
              </w:rPr>
              <w:t xml:space="preserve">The service layer is complete and there is no screen. A second operator needs an engineer, and separation of duty is unenforceable while one account holds both roles</w:t>
            </w:r>
          </w:p>
        </w:tc>
        <w:tc>
          <w:tcPr>
            <w:tcW w:type="dxa" w:w="1200"/>
            <w:shd w:fill="FCF3EC" w:color="auto" w:val="clear"/>
            <w:tcMar>
              <w:top w:type="dxa" w:w="90"/>
              <w:left w:type="dxa" w:w="120"/>
              <w:bottom w:type="dxa" w:w="90"/>
              <w:right w:type="dxa" w:w="120"/>
            </w:tcMar>
          </w:tcPr>
          <w:p>
            <w:pPr>
              <w:spacing w:after="0" w:line="252"/>
            </w:pPr>
            <w:r>
              <w:rPr>
                <w:b w:val="false"/>
                <w:bCs w:val="false"/>
                <w:sz w:val="19"/>
                <w:szCs w:val="19"/>
              </w:rPr>
              <w:t xml:space="preserve">1 session</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E3</w:t>
            </w:r>
          </w:p>
        </w:tc>
        <w:tc>
          <w:tcPr>
            <w:tcW w:type="dxa" w:w="3600"/>
            <w:tcMar>
              <w:top w:type="dxa" w:w="90"/>
              <w:left w:type="dxa" w:w="120"/>
              <w:bottom w:type="dxa" w:w="90"/>
              <w:right w:type="dxa" w:w="120"/>
            </w:tcMar>
          </w:tcPr>
          <w:p>
            <w:pPr>
              <w:spacing w:after="0" w:line="252"/>
            </w:pPr>
            <w:r>
              <w:rPr>
                <w:b w:val="false"/>
                <w:bCs w:val="false"/>
                <w:sz w:val="19"/>
                <w:szCs w:val="19"/>
              </w:rPr>
              <w:t xml:space="preserve">Cloud KMS key provider</w:t>
            </w:r>
          </w:p>
        </w:tc>
        <w:tc>
          <w:tcPr>
            <w:tcW w:type="dxa" w:w="3526"/>
            <w:tcMar>
              <w:top w:type="dxa" w:w="90"/>
              <w:left w:type="dxa" w:w="120"/>
              <w:bottom w:type="dxa" w:w="90"/>
              <w:right w:type="dxa" w:w="120"/>
            </w:tcMar>
          </w:tcPr>
          <w:p>
            <w:pPr>
              <w:spacing w:after="0" w:line="252"/>
            </w:pPr>
            <w:r>
              <w:rPr>
                <w:b w:val="false"/>
                <w:bCs w:val="false"/>
                <w:sz w:val="19"/>
                <w:szCs w:val="19"/>
              </w:rPr>
              <w:t xml:space="preserve">Waits on the cloud decision (A1). Until then credentials are encrypted under a local key supplied as a secret</w:t>
            </w:r>
          </w:p>
        </w:tc>
        <w:tc>
          <w:tcPr>
            <w:tcW w:type="dxa" w:w="1200"/>
            <w:tcMar>
              <w:top w:type="dxa" w:w="90"/>
              <w:left w:type="dxa" w:w="120"/>
              <w:bottom w:type="dxa" w:w="90"/>
              <w:right w:type="dxa" w:w="120"/>
            </w:tcMar>
          </w:tcPr>
          <w:p>
            <w:pPr>
              <w:spacing w:after="0" w:line="252"/>
            </w:pPr>
            <w:r>
              <w:rPr>
                <w:b w:val="false"/>
                <w:bCs w:val="false"/>
                <w:sz w:val="19"/>
                <w:szCs w:val="19"/>
              </w:rPr>
              <w:t xml:space="preserve">1 session after A1</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E4</w:t>
            </w:r>
          </w:p>
        </w:tc>
        <w:tc>
          <w:tcPr>
            <w:tcW w:type="dxa" w:w="3600"/>
            <w:tcMar>
              <w:top w:type="dxa" w:w="90"/>
              <w:left w:type="dxa" w:w="120"/>
              <w:bottom w:type="dxa" w:w="90"/>
              <w:right w:type="dxa" w:w="120"/>
            </w:tcMar>
          </w:tcPr>
          <w:p>
            <w:pPr>
              <w:spacing w:after="0" w:line="252"/>
            </w:pPr>
            <w:r>
              <w:rPr>
                <w:b w:val="false"/>
                <w:bCs w:val="false"/>
                <w:sz w:val="19"/>
                <w:szCs w:val="19"/>
              </w:rPr>
              <w:t xml:space="preserve">Bind a tenant in the auth and billing stores, then remove the unbound escape clause in the platform row-level security policy</w:t>
            </w:r>
          </w:p>
        </w:tc>
        <w:tc>
          <w:tcPr>
            <w:tcW w:type="dxa" w:w="3526"/>
            <w:tcMar>
              <w:top w:type="dxa" w:w="90"/>
              <w:left w:type="dxa" w:w="120"/>
              <w:bottom w:type="dxa" w:w="90"/>
              <w:right w:type="dxa" w:w="120"/>
            </w:tcMar>
          </w:tcPr>
          <w:p>
            <w:pPr>
              <w:spacing w:after="0" w:line="252"/>
            </w:pPr>
            <w:r>
              <w:rPr>
                <w:b w:val="false"/>
                <w:bCs w:val="false"/>
                <w:sz w:val="19"/>
                <w:szCs w:val="19"/>
              </w:rPr>
              <w:t xml:space="preserve">Closes risk R2 properly</w:t>
            </w:r>
          </w:p>
        </w:tc>
        <w:tc>
          <w:tcPr>
            <w:tcW w:type="dxa" w:w="1200"/>
            <w:tcMar>
              <w:top w:type="dxa" w:w="90"/>
              <w:left w:type="dxa" w:w="120"/>
              <w:bottom w:type="dxa" w:w="90"/>
              <w:right w:type="dxa" w:w="120"/>
            </w:tcMar>
          </w:tcPr>
          <w:p>
            <w:pPr>
              <w:spacing w:after="0" w:line="252"/>
            </w:pPr>
            <w:r>
              <w:rPr>
                <w:b w:val="false"/>
                <w:bCs w:val="false"/>
                <w:sz w:val="19"/>
                <w:szCs w:val="19"/>
              </w:rPr>
              <w:t xml:space="preserve">1 to 2 sessions</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E5</w:t>
            </w:r>
          </w:p>
        </w:tc>
        <w:tc>
          <w:tcPr>
            <w:tcW w:type="dxa" w:w="3600"/>
            <w:tcMar>
              <w:top w:type="dxa" w:w="90"/>
              <w:left w:type="dxa" w:w="120"/>
              <w:bottom w:type="dxa" w:w="90"/>
              <w:right w:type="dxa" w:w="120"/>
            </w:tcMar>
          </w:tcPr>
          <w:p>
            <w:pPr>
              <w:spacing w:after="0" w:line="252"/>
            </w:pPr>
            <w:r>
              <w:rPr>
                <w:b w:val="false"/>
                <w:bCs w:val="false"/>
                <w:sz w:val="19"/>
                <w:szCs w:val="19"/>
              </w:rPr>
              <w:t xml:space="preserve">Wire OIDC, or remove the sign-in buttons</w:t>
            </w:r>
          </w:p>
        </w:tc>
        <w:tc>
          <w:tcPr>
            <w:tcW w:type="dxa" w:w="3526"/>
            <w:tcMar>
              <w:top w:type="dxa" w:w="90"/>
              <w:left w:type="dxa" w:w="120"/>
              <w:bottom w:type="dxa" w:w="90"/>
              <w:right w:type="dxa" w:w="120"/>
            </w:tcMar>
          </w:tcPr>
          <w:p>
            <w:pPr>
              <w:spacing w:after="0" w:line="252"/>
            </w:pPr>
            <w:r>
              <w:rPr>
                <w:b w:val="false"/>
                <w:bCs w:val="false"/>
                <w:sz w:val="19"/>
                <w:szCs w:val="19"/>
              </w:rPr>
              <w:t xml:space="preserve">The buttons dead-end today, which reads as broken rather than unfinished</w:t>
            </w:r>
          </w:p>
        </w:tc>
        <w:tc>
          <w:tcPr>
            <w:tcW w:type="dxa" w:w="1200"/>
            <w:tcMar>
              <w:top w:type="dxa" w:w="90"/>
              <w:left w:type="dxa" w:w="120"/>
              <w:bottom w:type="dxa" w:w="90"/>
              <w:right w:type="dxa" w:w="120"/>
            </w:tcMar>
          </w:tcPr>
          <w:p>
            <w:pPr>
              <w:spacing w:after="0" w:line="252"/>
            </w:pPr>
            <w:r>
              <w:rPr>
                <w:b w:val="false"/>
                <w:bCs w:val="false"/>
                <w:sz w:val="19"/>
                <w:szCs w:val="19"/>
              </w:rPr>
              <w:t xml:space="preserve">1 session</w:t>
            </w:r>
          </w:p>
        </w:tc>
      </w:tr>
    </w:tbl>
    <w:p>
      <w:pPr>
        <w:pStyle w:val="Heading1"/>
        <w:spacing w:after="160" w:before="320"/>
      </w:pPr>
      <w:r>
        <w:t xml:space="preserve">3. Infrastructure and security · Tom</w:t>
      </w:r>
    </w:p>
    <w:tbl>
      <w:tblPr>
        <w:tblW w:type="dxa" w:w="9026"/>
        <w:tblBorders>
          <w:top w:val="single" w:color="E3E8EF" w:sz="2"/>
          <w:left w:val="none"/>
          <w:bottom w:val="single" w:color="E3E8EF" w:sz="2"/>
          <w:right w:val="none"/>
          <w:insideH w:val="single" w:color="E3E8EF" w:sz="2"/>
          <w:insideV w:val="none"/>
        </w:tblBorders>
      </w:tblPr>
      <w:tblGrid>
        <w:gridCol w:w="700"/>
        <w:gridCol w:w="5200"/>
        <w:gridCol w:w="2000"/>
        <w:gridCol w:w="1126"/>
      </w:tblGrid>
      <w:tr>
        <w:trPr>
          <w:tblHeader/>
        </w:trPr>
        <w:tc>
          <w:tcPr>
            <w:tcW w:type="dxa" w:w="700"/>
            <w:shd w:fill="F1F4F8" w:color="auto" w:val="clear"/>
            <w:tcMar>
              <w:top w:type="dxa" w:w="90"/>
              <w:left w:type="dxa" w:w="120"/>
              <w:bottom w:type="dxa" w:w="90"/>
              <w:right w:type="dxa" w:w="120"/>
            </w:tcMar>
          </w:tcPr>
          <w:p>
            <w:pPr>
              <w:spacing w:after="0" w:line="252"/>
            </w:pPr>
            <w:r>
              <w:rPr>
                <w:b/>
                <w:bCs/>
                <w:sz w:val="19"/>
                <w:szCs w:val="19"/>
              </w:rPr>
              <w:t xml:space="preserve">#</w:t>
            </w:r>
          </w:p>
        </w:tc>
        <w:tc>
          <w:tcPr>
            <w:tcW w:type="dxa" w:w="5200"/>
            <w:shd w:fill="F1F4F8" w:color="auto" w:val="clear"/>
            <w:tcMar>
              <w:top w:type="dxa" w:w="90"/>
              <w:left w:type="dxa" w:w="120"/>
              <w:bottom w:type="dxa" w:w="90"/>
              <w:right w:type="dxa" w:w="120"/>
            </w:tcMar>
          </w:tcPr>
          <w:p>
            <w:pPr>
              <w:spacing w:after="0" w:line="252"/>
            </w:pPr>
            <w:r>
              <w:rPr>
                <w:b/>
                <w:bCs/>
                <w:sz w:val="19"/>
                <w:szCs w:val="19"/>
              </w:rPr>
              <w:t xml:space="preserve">Item</w:t>
            </w:r>
          </w:p>
        </w:tc>
        <w:tc>
          <w:tcPr>
            <w:tcW w:type="dxa" w:w="2000"/>
            <w:shd w:fill="F1F4F8" w:color="auto" w:val="clear"/>
            <w:tcMar>
              <w:top w:type="dxa" w:w="90"/>
              <w:left w:type="dxa" w:w="120"/>
              <w:bottom w:type="dxa" w:w="90"/>
              <w:right w:type="dxa" w:w="120"/>
            </w:tcMar>
          </w:tcPr>
          <w:p>
            <w:pPr>
              <w:spacing w:after="0" w:line="252"/>
            </w:pPr>
            <w:r>
              <w:rPr>
                <w:b/>
                <w:bCs/>
                <w:sz w:val="19"/>
                <w:szCs w:val="19"/>
              </w:rPr>
              <w:t xml:space="preserve">Evidence</w:t>
            </w:r>
          </w:p>
        </w:tc>
        <w:tc>
          <w:tcPr>
            <w:tcW w:type="dxa" w:w="1126"/>
            <w:shd w:fill="F1F4F8" w:color="auto" w:val="clear"/>
            <w:tcMar>
              <w:top w:type="dxa" w:w="90"/>
              <w:left w:type="dxa" w:w="120"/>
              <w:bottom w:type="dxa" w:w="90"/>
              <w:right w:type="dxa" w:w="120"/>
            </w:tcMar>
          </w:tcPr>
          <w:p>
            <w:pPr>
              <w:spacing w:after="0" w:line="252"/>
            </w:pPr>
            <w:r>
              <w:rPr>
                <w:b/>
                <w:bCs/>
                <w:sz w:val="19"/>
                <w:szCs w:val="19"/>
              </w:rPr>
              <w:t xml:space="preserve">Lead time</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A1</w:t>
            </w:r>
          </w:p>
        </w:tc>
        <w:tc>
          <w:tcPr>
            <w:tcW w:type="dxa" w:w="5200"/>
            <w:tcMar>
              <w:top w:type="dxa" w:w="90"/>
              <w:left w:type="dxa" w:w="120"/>
              <w:bottom w:type="dxa" w:w="90"/>
              <w:right w:type="dxa" w:w="120"/>
            </w:tcMar>
          </w:tcPr>
          <w:p>
            <w:pPr>
              <w:spacing w:after="0" w:line="252"/>
            </w:pPr>
            <w:r>
              <w:rPr>
                <w:b w:val="false"/>
                <w:bCs w:val="false"/>
                <w:sz w:val="19"/>
                <w:szCs w:val="19"/>
              </w:rPr>
              <w:t xml:space="preserve">Cloud and region decision (Joint). AWS or GCP, London primary. Decide whether EU residency is offered at launch or struck from the Enterprise tier</w:t>
            </w:r>
          </w:p>
        </w:tc>
        <w:tc>
          <w:tcPr>
            <w:tcW w:type="dxa" w:w="2000"/>
            <w:tcMar>
              <w:top w:type="dxa" w:w="90"/>
              <w:left w:type="dxa" w:w="120"/>
              <w:bottom w:type="dxa" w:w="90"/>
              <w:right w:type="dxa" w:w="120"/>
            </w:tcMar>
          </w:tcPr>
          <w:p>
            <w:pPr>
              <w:spacing w:after="0" w:line="252"/>
            </w:pPr>
            <w:r>
              <w:rPr>
                <w:b w:val="false"/>
                <w:bCs w:val="false"/>
                <w:sz w:val="19"/>
                <w:szCs w:val="19"/>
              </w:rPr>
              <w:t xml:space="preserve">Signed decision note</w:t>
            </w:r>
          </w:p>
        </w:tc>
        <w:tc>
          <w:tcPr>
            <w:tcW w:type="dxa" w:w="1126"/>
            <w:tcMar>
              <w:top w:type="dxa" w:w="90"/>
              <w:left w:type="dxa" w:w="120"/>
              <w:bottom w:type="dxa" w:w="90"/>
              <w:right w:type="dxa" w:w="120"/>
            </w:tcMar>
          </w:tcPr>
          <w:p>
            <w:pPr>
              <w:spacing w:after="0" w:line="252"/>
            </w:pPr>
            <w:r>
              <w:rPr>
                <w:b w:val="false"/>
                <w:bCs w:val="false"/>
                <w:sz w:val="19"/>
                <w:szCs w:val="19"/>
              </w:rPr>
              <w:t xml:space="preserve">Days</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A2</w:t>
            </w:r>
          </w:p>
        </w:tc>
        <w:tc>
          <w:tcPr>
            <w:tcW w:type="dxa" w:w="5200"/>
            <w:tcMar>
              <w:top w:type="dxa" w:w="90"/>
              <w:left w:type="dxa" w:w="120"/>
              <w:bottom w:type="dxa" w:w="90"/>
              <w:right w:type="dxa" w:w="120"/>
            </w:tcMar>
          </w:tcPr>
          <w:p>
            <w:pPr>
              <w:spacing w:after="0" w:line="252"/>
            </w:pPr>
            <w:r>
              <w:rPr>
                <w:b w:val="false"/>
                <w:bCs w:val="false"/>
                <w:sz w:val="19"/>
                <w:szCs w:val="19"/>
              </w:rPr>
              <w:t xml:space="preserve">Accounts and IAM: separate dev, staging and prod; SSO into the console; MFA enforced; no long-lived root keys; CI deploys by OIDC federation, not static keys</w:t>
            </w:r>
          </w:p>
        </w:tc>
        <w:tc>
          <w:tcPr>
            <w:tcW w:type="dxa" w:w="2000"/>
            <w:tcMar>
              <w:top w:type="dxa" w:w="90"/>
              <w:left w:type="dxa" w:w="120"/>
              <w:bottom w:type="dxa" w:w="90"/>
              <w:right w:type="dxa" w:w="120"/>
            </w:tcMar>
          </w:tcPr>
          <w:p>
            <w:pPr>
              <w:spacing w:after="0" w:line="252"/>
            </w:pPr>
            <w:r>
              <w:rPr>
                <w:b w:val="false"/>
                <w:bCs w:val="false"/>
                <w:sz w:val="19"/>
                <w:szCs w:val="19"/>
              </w:rPr>
              <w:t xml:space="preserve">IAM policy export</w:t>
            </w:r>
          </w:p>
        </w:tc>
        <w:tc>
          <w:tcPr>
            <w:tcW w:type="dxa" w:w="1126"/>
            <w:tcMar>
              <w:top w:type="dxa" w:w="90"/>
              <w:left w:type="dxa" w:w="120"/>
              <w:bottom w:type="dxa" w:w="90"/>
              <w:right w:type="dxa" w:w="120"/>
            </w:tcMar>
          </w:tcPr>
          <w:p>
            <w:pPr>
              <w:spacing w:after="0" w:line="252"/>
            </w:pPr>
            <w:r>
              <w:rPr>
                <w:b w:val="false"/>
                <w:bCs w:val="false"/>
                <w:sz w:val="19"/>
                <w:szCs w:val="19"/>
              </w:rPr>
              <w:t xml:space="preserve">1 week</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A3</w:t>
            </w:r>
          </w:p>
        </w:tc>
        <w:tc>
          <w:tcPr>
            <w:tcW w:type="dxa" w:w="5200"/>
            <w:tcMar>
              <w:top w:type="dxa" w:w="90"/>
              <w:left w:type="dxa" w:w="120"/>
              <w:bottom w:type="dxa" w:w="90"/>
              <w:right w:type="dxa" w:w="120"/>
            </w:tcMar>
          </w:tcPr>
          <w:p>
            <w:pPr>
              <w:spacing w:after="0" w:line="252"/>
            </w:pPr>
            <w:r>
              <w:rPr>
                <w:b w:val="false"/>
                <w:bCs w:val="false"/>
                <w:sz w:val="19"/>
                <w:szCs w:val="19"/>
              </w:rPr>
              <w:t xml:space="preserve">Managed Postgres 16: private subnet, TLS required, PITR 7 days or more, automated backups, an application role that is NOBYPASSRLS and separate from the owner</w:t>
            </w:r>
          </w:p>
        </w:tc>
        <w:tc>
          <w:tcPr>
            <w:tcW w:type="dxa" w:w="2000"/>
            <w:tcMar>
              <w:top w:type="dxa" w:w="90"/>
              <w:left w:type="dxa" w:w="120"/>
              <w:bottom w:type="dxa" w:w="90"/>
              <w:right w:type="dxa" w:w="120"/>
            </w:tcMar>
          </w:tcPr>
          <w:p>
            <w:pPr>
              <w:spacing w:after="0" w:line="252"/>
            </w:pPr>
            <w:r>
              <w:rPr>
                <w:b w:val="false"/>
                <w:bCs w:val="false"/>
                <w:sz w:val="19"/>
                <w:szCs w:val="19"/>
              </w:rPr>
              <w:t xml:space="preserve">Restore drill record</w:t>
            </w:r>
          </w:p>
        </w:tc>
        <w:tc>
          <w:tcPr>
            <w:tcW w:type="dxa" w:w="1126"/>
            <w:tcMar>
              <w:top w:type="dxa" w:w="90"/>
              <w:left w:type="dxa" w:w="120"/>
              <w:bottom w:type="dxa" w:w="90"/>
              <w:right w:type="dxa" w:w="120"/>
            </w:tcMar>
          </w:tcPr>
          <w:p>
            <w:pPr>
              <w:spacing w:after="0" w:line="252"/>
            </w:pPr>
            <w:r>
              <w:rPr>
                <w:b w:val="false"/>
                <w:bCs w:val="false"/>
                <w:sz w:val="19"/>
                <w:szCs w:val="19"/>
              </w:rPr>
              <w:t xml:space="preserve">1 week</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A4</w:t>
            </w:r>
          </w:p>
        </w:tc>
        <w:tc>
          <w:tcPr>
            <w:tcW w:type="dxa" w:w="5200"/>
            <w:tcMar>
              <w:top w:type="dxa" w:w="90"/>
              <w:left w:type="dxa" w:w="120"/>
              <w:bottom w:type="dxa" w:w="90"/>
              <w:right w:type="dxa" w:w="120"/>
            </w:tcMar>
          </w:tcPr>
          <w:p>
            <w:pPr>
              <w:spacing w:after="0" w:line="252"/>
            </w:pPr>
            <w:r>
              <w:rPr>
                <w:b w:val="false"/>
                <w:bCs w:val="false"/>
                <w:sz w:val="19"/>
                <w:szCs w:val="19"/>
              </w:rPr>
              <w:t xml:space="preserve">Managed Redis for rate limits and counters. TLS, auth, no public endpoint</w:t>
            </w:r>
          </w:p>
        </w:tc>
        <w:tc>
          <w:tcPr>
            <w:tcW w:type="dxa" w:w="2000"/>
            <w:tcMar>
              <w:top w:type="dxa" w:w="90"/>
              <w:left w:type="dxa" w:w="120"/>
              <w:bottom w:type="dxa" w:w="90"/>
              <w:right w:type="dxa" w:w="120"/>
            </w:tcMar>
          </w:tcPr>
          <w:p>
            <w:pPr>
              <w:spacing w:after="0" w:line="252"/>
            </w:pPr>
            <w:r>
              <w:rPr>
                <w:b w:val="false"/>
                <w:bCs w:val="false"/>
                <w:sz w:val="19"/>
                <w:szCs w:val="19"/>
              </w:rPr>
              <w:t xml:space="preserve">Config screenshot</w:t>
            </w:r>
          </w:p>
        </w:tc>
        <w:tc>
          <w:tcPr>
            <w:tcW w:type="dxa" w:w="1126"/>
            <w:tcMar>
              <w:top w:type="dxa" w:w="90"/>
              <w:left w:type="dxa" w:w="120"/>
              <w:bottom w:type="dxa" w:w="90"/>
              <w:right w:type="dxa" w:w="120"/>
            </w:tcMar>
          </w:tcPr>
          <w:p>
            <w:pPr>
              <w:spacing w:after="0" w:line="252"/>
            </w:pPr>
            <w:r>
              <w:rPr>
                <w:b w:val="false"/>
                <w:bCs w:val="false"/>
                <w:sz w:val="19"/>
                <w:szCs w:val="19"/>
              </w:rPr>
              <w:t xml:space="preserve">Days</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A5</w:t>
            </w:r>
          </w:p>
        </w:tc>
        <w:tc>
          <w:tcPr>
            <w:tcW w:type="dxa" w:w="5200"/>
            <w:tcMar>
              <w:top w:type="dxa" w:w="90"/>
              <w:left w:type="dxa" w:w="120"/>
              <w:bottom w:type="dxa" w:w="90"/>
              <w:right w:type="dxa" w:w="120"/>
            </w:tcMar>
          </w:tcPr>
          <w:p>
            <w:pPr>
              <w:spacing w:after="0" w:line="252"/>
            </w:pPr>
            <w:r>
              <w:rPr>
                <w:b w:val="false"/>
                <w:bCs w:val="false"/>
                <w:sz w:val="19"/>
                <w:szCs w:val="19"/>
              </w:rPr>
              <w:t xml:space="preserve">KMS and secrets manager: root key, checkpoint key, model key, PSP keys, session secret. Rotation schedule documented</w:t>
            </w:r>
          </w:p>
        </w:tc>
        <w:tc>
          <w:tcPr>
            <w:tcW w:type="dxa" w:w="2000"/>
            <w:tcMar>
              <w:top w:type="dxa" w:w="90"/>
              <w:left w:type="dxa" w:w="120"/>
              <w:bottom w:type="dxa" w:w="90"/>
              <w:right w:type="dxa" w:w="120"/>
            </w:tcMar>
          </w:tcPr>
          <w:p>
            <w:pPr>
              <w:spacing w:after="0" w:line="252"/>
            </w:pPr>
            <w:r>
              <w:rPr>
                <w:b w:val="false"/>
                <w:bCs w:val="false"/>
                <w:sz w:val="19"/>
                <w:szCs w:val="19"/>
              </w:rPr>
              <w:t xml:space="preserve">Key inventory and rotation policy</w:t>
            </w:r>
          </w:p>
        </w:tc>
        <w:tc>
          <w:tcPr>
            <w:tcW w:type="dxa" w:w="1126"/>
            <w:tcMar>
              <w:top w:type="dxa" w:w="90"/>
              <w:left w:type="dxa" w:w="120"/>
              <w:bottom w:type="dxa" w:w="90"/>
              <w:right w:type="dxa" w:w="120"/>
            </w:tcMar>
          </w:tcPr>
          <w:p>
            <w:pPr>
              <w:spacing w:after="0" w:line="252"/>
            </w:pPr>
            <w:r>
              <w:rPr>
                <w:b w:val="false"/>
                <w:bCs w:val="false"/>
                <w:sz w:val="19"/>
                <w:szCs w:val="19"/>
              </w:rPr>
              <w:t xml:space="preserve">Days</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A6</w:t>
            </w:r>
          </w:p>
        </w:tc>
        <w:tc>
          <w:tcPr>
            <w:tcW w:type="dxa" w:w="5200"/>
            <w:tcMar>
              <w:top w:type="dxa" w:w="90"/>
              <w:left w:type="dxa" w:w="120"/>
              <w:bottom w:type="dxa" w:w="90"/>
              <w:right w:type="dxa" w:w="120"/>
            </w:tcMar>
          </w:tcPr>
          <w:p>
            <w:pPr>
              <w:spacing w:after="0" w:line="252"/>
            </w:pPr>
            <w:r>
              <w:rPr>
                <w:b w:val="false"/>
                <w:bCs w:val="false"/>
                <w:sz w:val="19"/>
                <w:szCs w:val="19"/>
              </w:rPr>
              <w:t xml:space="preserve">Container platform and network: WAF in front, egress allow-list, private database and Redis, no SSH</w:t>
            </w:r>
          </w:p>
        </w:tc>
        <w:tc>
          <w:tcPr>
            <w:tcW w:type="dxa" w:w="2000"/>
            <w:tcMar>
              <w:top w:type="dxa" w:w="90"/>
              <w:left w:type="dxa" w:w="120"/>
              <w:bottom w:type="dxa" w:w="90"/>
              <w:right w:type="dxa" w:w="120"/>
            </w:tcMar>
          </w:tcPr>
          <w:p>
            <w:pPr>
              <w:spacing w:after="0" w:line="252"/>
            </w:pPr>
            <w:r>
              <w:rPr>
                <w:b w:val="false"/>
                <w:bCs w:val="false"/>
                <w:sz w:val="19"/>
                <w:szCs w:val="19"/>
              </w:rPr>
              <w:t xml:space="preserve">Architecture diagram</w:t>
            </w:r>
          </w:p>
        </w:tc>
        <w:tc>
          <w:tcPr>
            <w:tcW w:type="dxa" w:w="1126"/>
            <w:tcMar>
              <w:top w:type="dxa" w:w="90"/>
              <w:left w:type="dxa" w:w="120"/>
              <w:bottom w:type="dxa" w:w="90"/>
              <w:right w:type="dxa" w:w="120"/>
            </w:tcMar>
          </w:tcPr>
          <w:p>
            <w:pPr>
              <w:spacing w:after="0" w:line="252"/>
            </w:pPr>
            <w:r>
              <w:rPr>
                <w:b w:val="false"/>
                <w:bCs w:val="false"/>
                <w:sz w:val="19"/>
                <w:szCs w:val="19"/>
              </w:rPr>
              <w:t xml:space="preserve">1 to 2 weeks</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A7</w:t>
            </w:r>
          </w:p>
        </w:tc>
        <w:tc>
          <w:tcPr>
            <w:tcW w:type="dxa" w:w="5200"/>
            <w:tcMar>
              <w:top w:type="dxa" w:w="90"/>
              <w:left w:type="dxa" w:w="120"/>
              <w:bottom w:type="dxa" w:w="90"/>
              <w:right w:type="dxa" w:w="120"/>
            </w:tcMar>
          </w:tcPr>
          <w:p>
            <w:pPr>
              <w:spacing w:after="0" w:line="252"/>
            </w:pPr>
            <w:r>
              <w:rPr>
                <w:b w:val="false"/>
                <w:bCs w:val="false"/>
                <w:sz w:val="19"/>
                <w:szCs w:val="19"/>
              </w:rPr>
              <w:t xml:space="preserve">DNS and TLS for four hostnames: marketing, app, console on its own hostname, reseller. The build refuses to start if the console shares one</w:t>
            </w:r>
          </w:p>
        </w:tc>
        <w:tc>
          <w:tcPr>
            <w:tcW w:type="dxa" w:w="2000"/>
            <w:tcMar>
              <w:top w:type="dxa" w:w="90"/>
              <w:left w:type="dxa" w:w="120"/>
              <w:bottom w:type="dxa" w:w="90"/>
              <w:right w:type="dxa" w:w="120"/>
            </w:tcMar>
          </w:tcPr>
          <w:p>
            <w:pPr>
              <w:spacing w:after="0" w:line="252"/>
            </w:pPr>
            <w:r>
              <w:rPr>
                <w:b w:val="false"/>
                <w:bCs w:val="false"/>
                <w:sz w:val="19"/>
                <w:szCs w:val="19"/>
              </w:rPr>
              <w:t xml:space="preserve">DNS export, SSL Labs A+</w:t>
            </w:r>
          </w:p>
        </w:tc>
        <w:tc>
          <w:tcPr>
            <w:tcW w:type="dxa" w:w="1126"/>
            <w:tcMar>
              <w:top w:type="dxa" w:w="90"/>
              <w:left w:type="dxa" w:w="120"/>
              <w:bottom w:type="dxa" w:w="90"/>
              <w:right w:type="dxa" w:w="120"/>
            </w:tcMar>
          </w:tcPr>
          <w:p>
            <w:pPr>
              <w:spacing w:after="0" w:line="252"/>
            </w:pPr>
            <w:r>
              <w:rPr>
                <w:b w:val="false"/>
                <w:bCs w:val="false"/>
                <w:sz w:val="19"/>
                <w:szCs w:val="19"/>
              </w:rPr>
              <w:t xml:space="preserve">Days</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A8</w:t>
            </w:r>
          </w:p>
        </w:tc>
        <w:tc>
          <w:tcPr>
            <w:tcW w:type="dxa" w:w="5200"/>
            <w:tcMar>
              <w:top w:type="dxa" w:w="90"/>
              <w:left w:type="dxa" w:w="120"/>
              <w:bottom w:type="dxa" w:w="90"/>
              <w:right w:type="dxa" w:w="120"/>
            </w:tcMar>
          </w:tcPr>
          <w:p>
            <w:pPr>
              <w:spacing w:after="0" w:line="252"/>
            </w:pPr>
            <w:r>
              <w:rPr>
                <w:b w:val="false"/>
                <w:bCs w:val="false"/>
                <w:sz w:val="19"/>
                <w:szCs w:val="19"/>
              </w:rPr>
              <w:t xml:space="preserve">CI/CD: branch protection with the four CI jobs required, staged deploy with manual approval to production, rollback tested once</w:t>
            </w:r>
          </w:p>
        </w:tc>
        <w:tc>
          <w:tcPr>
            <w:tcW w:type="dxa" w:w="2000"/>
            <w:tcMar>
              <w:top w:type="dxa" w:w="90"/>
              <w:left w:type="dxa" w:w="120"/>
              <w:bottom w:type="dxa" w:w="90"/>
              <w:right w:type="dxa" w:w="120"/>
            </w:tcMar>
          </w:tcPr>
          <w:p>
            <w:pPr>
              <w:spacing w:after="0" w:line="252"/>
            </w:pPr>
            <w:r>
              <w:rPr>
                <w:b w:val="false"/>
                <w:bCs w:val="false"/>
                <w:sz w:val="19"/>
                <w:szCs w:val="19"/>
              </w:rPr>
              <w:t xml:space="preserve">Protected-branch settings, deploy log</w:t>
            </w:r>
          </w:p>
        </w:tc>
        <w:tc>
          <w:tcPr>
            <w:tcW w:type="dxa" w:w="1126"/>
            <w:tcMar>
              <w:top w:type="dxa" w:w="90"/>
              <w:left w:type="dxa" w:w="120"/>
              <w:bottom w:type="dxa" w:w="90"/>
              <w:right w:type="dxa" w:w="120"/>
            </w:tcMar>
          </w:tcPr>
          <w:p>
            <w:pPr>
              <w:spacing w:after="0" w:line="252"/>
            </w:pPr>
            <w:r>
              <w:rPr>
                <w:b w:val="false"/>
                <w:bCs w:val="false"/>
                <w:sz w:val="19"/>
                <w:szCs w:val="19"/>
              </w:rPr>
              <w:t xml:space="preserve">1 week</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A9</w:t>
            </w:r>
          </w:p>
        </w:tc>
        <w:tc>
          <w:tcPr>
            <w:tcW w:type="dxa" w:w="5200"/>
            <w:tcMar>
              <w:top w:type="dxa" w:w="90"/>
              <w:left w:type="dxa" w:w="120"/>
              <w:bottom w:type="dxa" w:w="90"/>
              <w:right w:type="dxa" w:w="120"/>
            </w:tcMar>
          </w:tcPr>
          <w:p>
            <w:pPr>
              <w:spacing w:after="0" w:line="252"/>
            </w:pPr>
            <w:r>
              <w:rPr>
                <w:b w:val="false"/>
                <w:bCs w:val="false"/>
                <w:sz w:val="19"/>
                <w:szCs w:val="19"/>
              </w:rPr>
              <w:t xml:space="preserve">Supply-chain policy: minimum release age of 7 days, Dependabot or Renovate, SBOM retained per release</w:t>
            </w:r>
          </w:p>
        </w:tc>
        <w:tc>
          <w:tcPr>
            <w:tcW w:type="dxa" w:w="2000"/>
            <w:tcMar>
              <w:top w:type="dxa" w:w="90"/>
              <w:left w:type="dxa" w:w="120"/>
              <w:bottom w:type="dxa" w:w="90"/>
              <w:right w:type="dxa" w:w="120"/>
            </w:tcMar>
          </w:tcPr>
          <w:p>
            <w:pPr>
              <w:spacing w:after="0" w:line="252"/>
            </w:pPr>
            <w:r>
              <w:rPr>
                <w:b w:val="false"/>
                <w:bCs w:val="false"/>
                <w:sz w:val="19"/>
                <w:szCs w:val="19"/>
              </w:rPr>
              <w:t xml:space="preserve">Policy in repo settings</w:t>
            </w:r>
          </w:p>
        </w:tc>
        <w:tc>
          <w:tcPr>
            <w:tcW w:type="dxa" w:w="1126"/>
            <w:tcMar>
              <w:top w:type="dxa" w:w="90"/>
              <w:left w:type="dxa" w:w="120"/>
              <w:bottom w:type="dxa" w:w="90"/>
              <w:right w:type="dxa" w:w="120"/>
            </w:tcMar>
          </w:tcPr>
          <w:p>
            <w:pPr>
              <w:spacing w:after="0" w:line="252"/>
            </w:pPr>
            <w:r>
              <w:rPr>
                <w:b w:val="false"/>
                <w:bCs w:val="false"/>
                <w:sz w:val="19"/>
                <w:szCs w:val="19"/>
              </w:rPr>
              <w:t xml:space="preserve">Days</w:t>
            </w:r>
          </w:p>
        </w:tc>
      </w:tr>
    </w:tbl>
    <w:p>
      <w:pPr>
        <w:spacing w:after="120" w:line="276"/>
      </w:pPr>
      <w:r>
        <w:rPr>
          <w:b/>
          <w:bCs/>
        </w:rPr>
        <w:t xml:space="preserve">A8 and A9 are switching things on, not building them. </w:t>
      </w:r>
      <w:r>
        <w:t xml:space="preserve">The repository already carries the CI workflow, a migration runner, a secret linter and a dependency-age check.</w:t>
      </w:r>
    </w:p>
    <w:p>
      <w:r>
        <w:br w:type="page"/>
      </w:r>
    </w:p>
    <w:p>
      <w:pPr>
        <w:pStyle w:val="Heading1"/>
        <w:spacing w:after="160" w:before="320"/>
      </w:pPr>
      <w:r>
        <w:t xml:space="preserve">4. Integrations · Tony</w:t>
      </w:r>
    </w:p>
    <w:tbl>
      <w:tblPr>
        <w:tblW w:type="dxa" w:w="9026"/>
        <w:tblBorders>
          <w:top w:val="single" w:color="E3E8EF" w:sz="2"/>
          <w:left w:val="none"/>
          <w:bottom w:val="single" w:color="E3E8EF" w:sz="2"/>
          <w:right w:val="none"/>
          <w:insideH w:val="single" w:color="E3E8EF" w:sz="2"/>
          <w:insideV w:val="none"/>
        </w:tblBorders>
      </w:tblPr>
      <w:tblGrid>
        <w:gridCol w:w="700"/>
        <w:gridCol w:w="5200"/>
        <w:gridCol w:w="2000"/>
        <w:gridCol w:w="1126"/>
      </w:tblGrid>
      <w:tr>
        <w:trPr>
          <w:tblHeader/>
        </w:trPr>
        <w:tc>
          <w:tcPr>
            <w:tcW w:type="dxa" w:w="700"/>
            <w:shd w:fill="F1F4F8" w:color="auto" w:val="clear"/>
            <w:tcMar>
              <w:top w:type="dxa" w:w="90"/>
              <w:left w:type="dxa" w:w="120"/>
              <w:bottom w:type="dxa" w:w="90"/>
              <w:right w:type="dxa" w:w="120"/>
            </w:tcMar>
          </w:tcPr>
          <w:p>
            <w:pPr>
              <w:spacing w:after="0" w:line="252"/>
            </w:pPr>
            <w:r>
              <w:rPr>
                <w:b/>
                <w:bCs/>
                <w:sz w:val="19"/>
                <w:szCs w:val="19"/>
              </w:rPr>
              <w:t xml:space="preserve">#</w:t>
            </w:r>
          </w:p>
        </w:tc>
        <w:tc>
          <w:tcPr>
            <w:tcW w:type="dxa" w:w="5200"/>
            <w:shd w:fill="F1F4F8" w:color="auto" w:val="clear"/>
            <w:tcMar>
              <w:top w:type="dxa" w:w="90"/>
              <w:left w:type="dxa" w:w="120"/>
              <w:bottom w:type="dxa" w:w="90"/>
              <w:right w:type="dxa" w:w="120"/>
            </w:tcMar>
          </w:tcPr>
          <w:p>
            <w:pPr>
              <w:spacing w:after="0" w:line="252"/>
            </w:pPr>
            <w:r>
              <w:rPr>
                <w:b/>
                <w:bCs/>
                <w:sz w:val="19"/>
                <w:szCs w:val="19"/>
              </w:rPr>
              <w:t xml:space="preserve">Item</w:t>
            </w:r>
          </w:p>
        </w:tc>
        <w:tc>
          <w:tcPr>
            <w:tcW w:type="dxa" w:w="2000"/>
            <w:shd w:fill="F1F4F8" w:color="auto" w:val="clear"/>
            <w:tcMar>
              <w:top w:type="dxa" w:w="90"/>
              <w:left w:type="dxa" w:w="120"/>
              <w:bottom w:type="dxa" w:w="90"/>
              <w:right w:type="dxa" w:w="120"/>
            </w:tcMar>
          </w:tcPr>
          <w:p>
            <w:pPr>
              <w:spacing w:after="0" w:line="252"/>
            </w:pPr>
            <w:r>
              <w:rPr>
                <w:b/>
                <w:bCs/>
                <w:sz w:val="19"/>
                <w:szCs w:val="19"/>
              </w:rPr>
              <w:t xml:space="preserve">Evidence</w:t>
            </w:r>
          </w:p>
        </w:tc>
        <w:tc>
          <w:tcPr>
            <w:tcW w:type="dxa" w:w="1126"/>
            <w:shd w:fill="F1F4F8" w:color="auto" w:val="clear"/>
            <w:tcMar>
              <w:top w:type="dxa" w:w="90"/>
              <w:left w:type="dxa" w:w="120"/>
              <w:bottom w:type="dxa" w:w="90"/>
              <w:right w:type="dxa" w:w="120"/>
            </w:tcMar>
          </w:tcPr>
          <w:p>
            <w:pPr>
              <w:spacing w:after="0" w:line="252"/>
            </w:pPr>
            <w:r>
              <w:rPr>
                <w:b/>
                <w:bCs/>
                <w:sz w:val="19"/>
                <w:szCs w:val="19"/>
              </w:rPr>
              <w:t xml:space="preserve">Lead time</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B1</w:t>
            </w:r>
          </w:p>
        </w:tc>
        <w:tc>
          <w:tcPr>
            <w:tcW w:type="dxa" w:w="5200"/>
            <w:tcMar>
              <w:top w:type="dxa" w:w="90"/>
              <w:left w:type="dxa" w:w="120"/>
              <w:bottom w:type="dxa" w:w="90"/>
              <w:right w:type="dxa" w:w="120"/>
            </w:tcMar>
          </w:tcPr>
          <w:p>
            <w:pPr>
              <w:spacing w:after="0" w:line="252"/>
            </w:pPr>
            <w:r>
              <w:rPr>
                <w:b w:val="false"/>
                <w:bCs w:val="false"/>
                <w:sz w:val="19"/>
                <w:szCs w:val="19"/>
              </w:rPr>
              <w:t xml:space="preserve">Model provider: Anthropic organisation account, production key in KMS, spend limits set at the provider, zero-data-retention and DPA terms in writing, model id pinned</w:t>
            </w:r>
          </w:p>
        </w:tc>
        <w:tc>
          <w:tcPr>
            <w:tcW w:type="dxa" w:w="2000"/>
            <w:tcMar>
              <w:top w:type="dxa" w:w="90"/>
              <w:left w:type="dxa" w:w="120"/>
              <w:bottom w:type="dxa" w:w="90"/>
              <w:right w:type="dxa" w:w="120"/>
            </w:tcMar>
          </w:tcPr>
          <w:p>
            <w:pPr>
              <w:spacing w:after="0" w:line="252"/>
            </w:pPr>
            <w:r>
              <w:rPr>
                <w:b w:val="false"/>
                <w:bCs w:val="false"/>
                <w:sz w:val="19"/>
                <w:szCs w:val="19"/>
              </w:rPr>
              <w:t xml:space="preserve">Signed DPA, key in secrets manager</w:t>
            </w:r>
          </w:p>
        </w:tc>
        <w:tc>
          <w:tcPr>
            <w:tcW w:type="dxa" w:w="1126"/>
            <w:tcMar>
              <w:top w:type="dxa" w:w="90"/>
              <w:left w:type="dxa" w:w="120"/>
              <w:bottom w:type="dxa" w:w="90"/>
              <w:right w:type="dxa" w:w="120"/>
            </w:tcMar>
          </w:tcPr>
          <w:p>
            <w:pPr>
              <w:spacing w:after="0" w:line="252"/>
            </w:pPr>
            <w:r>
              <w:rPr>
                <w:b w:val="false"/>
                <w:bCs w:val="false"/>
                <w:sz w:val="19"/>
                <w:szCs w:val="19"/>
              </w:rPr>
              <w:t xml:space="preserve">1 week; enterprise terms 2 to 4 weeks</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B2</w:t>
            </w:r>
          </w:p>
        </w:tc>
        <w:tc>
          <w:tcPr>
            <w:tcW w:type="dxa" w:w="5200"/>
            <w:tcMar>
              <w:top w:type="dxa" w:w="90"/>
              <w:left w:type="dxa" w:w="120"/>
              <w:bottom w:type="dxa" w:w="90"/>
              <w:right w:type="dxa" w:w="120"/>
            </w:tcMar>
          </w:tcPr>
          <w:p>
            <w:pPr>
              <w:spacing w:after="0" w:line="252"/>
            </w:pPr>
            <w:r>
              <w:rPr>
                <w:b w:val="false"/>
                <w:bCs w:val="false"/>
                <w:sz w:val="19"/>
                <w:szCs w:val="19"/>
              </w:rPr>
              <w:t xml:space="preserve">CRM OAuth apps: HubSpot, Salesforce, Pipedrive, Dynamics. Minimal scopes, sandbox orgs, marketplace approval where required</w:t>
            </w:r>
          </w:p>
        </w:tc>
        <w:tc>
          <w:tcPr>
            <w:tcW w:type="dxa" w:w="2000"/>
            <w:tcMar>
              <w:top w:type="dxa" w:w="90"/>
              <w:left w:type="dxa" w:w="120"/>
              <w:bottom w:type="dxa" w:w="90"/>
              <w:right w:type="dxa" w:w="120"/>
            </w:tcMar>
          </w:tcPr>
          <w:p>
            <w:pPr>
              <w:spacing w:after="0" w:line="252"/>
            </w:pPr>
            <w:r>
              <w:rPr>
                <w:b w:val="false"/>
                <w:bCs w:val="false"/>
                <w:sz w:val="19"/>
                <w:szCs w:val="19"/>
              </w:rPr>
              <w:t xml:space="preserve">App ids, approved listings, sandbox test log</w:t>
            </w:r>
          </w:p>
        </w:tc>
        <w:tc>
          <w:tcPr>
            <w:tcW w:type="dxa" w:w="1126"/>
            <w:tcMar>
              <w:top w:type="dxa" w:w="90"/>
              <w:left w:type="dxa" w:w="120"/>
              <w:bottom w:type="dxa" w:w="90"/>
              <w:right w:type="dxa" w:w="120"/>
            </w:tcMar>
          </w:tcPr>
          <w:p>
            <w:pPr>
              <w:spacing w:after="0" w:line="252"/>
            </w:pPr>
            <w:r>
              <w:rPr>
                <w:b w:val="false"/>
                <w:bCs w:val="false"/>
                <w:sz w:val="19"/>
                <w:szCs w:val="19"/>
              </w:rPr>
              <w:t xml:space="preserve">HubSpot and Pipedrive 1 to 2 weeks; Salesforce and Microsoft 4 to 8 weeks</w:t>
            </w:r>
          </w:p>
        </w:tc>
      </w:tr>
      <w:tr>
        <w:trPr>
          <w:tblHeader w:val="false"/>
        </w:trPr>
        <w:tc>
          <w:tcPr>
            <w:tcW w:type="dxa" w:w="700"/>
            <w:shd w:fill="FCF3EC" w:color="auto" w:val="clear"/>
            <w:tcMar>
              <w:top w:type="dxa" w:w="90"/>
              <w:left w:type="dxa" w:w="120"/>
              <w:bottom w:type="dxa" w:w="90"/>
              <w:right w:type="dxa" w:w="120"/>
            </w:tcMar>
          </w:tcPr>
          <w:p>
            <w:pPr>
              <w:spacing w:after="0" w:line="252"/>
            </w:pPr>
            <w:r>
              <w:rPr>
                <w:b w:val="false"/>
                <w:bCs w:val="false"/>
                <w:sz w:val="19"/>
                <w:szCs w:val="19"/>
              </w:rPr>
              <w:t xml:space="preserve">B3</w:t>
            </w:r>
          </w:p>
        </w:tc>
        <w:tc>
          <w:tcPr>
            <w:tcW w:type="dxa" w:w="5200"/>
            <w:shd w:fill="FCF3EC" w:color="auto" w:val="clear"/>
            <w:tcMar>
              <w:top w:type="dxa" w:w="90"/>
              <w:left w:type="dxa" w:w="120"/>
              <w:bottom w:type="dxa" w:w="90"/>
              <w:right w:type="dxa" w:w="120"/>
            </w:tcMar>
          </w:tcPr>
          <w:p>
            <w:pPr>
              <w:spacing w:after="0" w:line="252"/>
            </w:pPr>
            <w:r>
              <w:rPr>
                <w:b w:val="false"/>
                <w:bCs w:val="false"/>
                <w:sz w:val="19"/>
                <w:szCs w:val="19"/>
              </w:rPr>
              <w:t xml:space="preserve">Transactional email, with DKIM, SPF and DMARC on the sending domain</w:t>
            </w:r>
          </w:p>
        </w:tc>
        <w:tc>
          <w:tcPr>
            <w:tcW w:type="dxa" w:w="2000"/>
            <w:shd w:fill="FCF3EC" w:color="auto" w:val="clear"/>
            <w:tcMar>
              <w:top w:type="dxa" w:w="90"/>
              <w:left w:type="dxa" w:w="120"/>
              <w:bottom w:type="dxa" w:w="90"/>
              <w:right w:type="dxa" w:w="120"/>
            </w:tcMar>
          </w:tcPr>
          <w:p>
            <w:pPr>
              <w:spacing w:after="0" w:line="252"/>
            </w:pPr>
            <w:r>
              <w:rPr>
                <w:b w:val="false"/>
                <w:bCs w:val="false"/>
                <w:sz w:val="19"/>
                <w:szCs w:val="19"/>
              </w:rPr>
              <w:t xml:space="preserve">DNS records, provider account</w:t>
            </w:r>
          </w:p>
        </w:tc>
        <w:tc>
          <w:tcPr>
            <w:tcW w:type="dxa" w:w="1126"/>
            <w:shd w:fill="FCF3EC" w:color="auto" w:val="clear"/>
            <w:tcMar>
              <w:top w:type="dxa" w:w="90"/>
              <w:left w:type="dxa" w:w="120"/>
              <w:bottom w:type="dxa" w:w="90"/>
              <w:right w:type="dxa" w:w="120"/>
            </w:tcMar>
          </w:tcPr>
          <w:p>
            <w:pPr>
              <w:spacing w:after="0" w:line="252"/>
            </w:pPr>
            <w:r>
              <w:rPr>
                <w:b w:val="false"/>
                <w:bCs w:val="false"/>
                <w:sz w:val="19"/>
                <w:szCs w:val="19"/>
              </w:rPr>
              <w:t xml:space="preserve">1 to 3 weeks</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B4</w:t>
            </w:r>
          </w:p>
        </w:tc>
        <w:tc>
          <w:tcPr>
            <w:tcW w:type="dxa" w:w="5200"/>
            <w:tcMar>
              <w:top w:type="dxa" w:w="90"/>
              <w:left w:type="dxa" w:w="120"/>
              <w:bottom w:type="dxa" w:w="90"/>
              <w:right w:type="dxa" w:w="120"/>
            </w:tcMar>
          </w:tcPr>
          <w:p>
            <w:pPr>
              <w:spacing w:after="0" w:line="252"/>
            </w:pPr>
            <w:r>
              <w:rPr>
                <w:b w:val="false"/>
                <w:bCs w:val="false"/>
                <w:sz w:val="19"/>
                <w:szCs w:val="19"/>
              </w:rPr>
              <w:t xml:space="preserve">Payment service provider: Stripe live keys in KMS, webhook secret, tax settings, no card data on the platform</w:t>
            </w:r>
          </w:p>
        </w:tc>
        <w:tc>
          <w:tcPr>
            <w:tcW w:type="dxa" w:w="2000"/>
            <w:tcMar>
              <w:top w:type="dxa" w:w="90"/>
              <w:left w:type="dxa" w:w="120"/>
              <w:bottom w:type="dxa" w:w="90"/>
              <w:right w:type="dxa" w:w="120"/>
            </w:tcMar>
          </w:tcPr>
          <w:p>
            <w:pPr>
              <w:spacing w:after="0" w:line="252"/>
            </w:pPr>
            <w:r>
              <w:rPr>
                <w:b w:val="false"/>
                <w:bCs w:val="false"/>
                <w:sz w:val="19"/>
                <w:szCs w:val="19"/>
              </w:rPr>
              <w:t xml:space="preserve">Stripe live, webhook verified in staging</w:t>
            </w:r>
          </w:p>
        </w:tc>
        <w:tc>
          <w:tcPr>
            <w:tcW w:type="dxa" w:w="1126"/>
            <w:tcMar>
              <w:top w:type="dxa" w:w="90"/>
              <w:left w:type="dxa" w:w="120"/>
              <w:bottom w:type="dxa" w:w="90"/>
              <w:right w:type="dxa" w:w="120"/>
            </w:tcMar>
          </w:tcPr>
          <w:p>
            <w:pPr>
              <w:spacing w:after="0" w:line="252"/>
            </w:pPr>
            <w:r>
              <w:rPr>
                <w:b w:val="false"/>
                <w:bCs w:val="false"/>
                <w:sz w:val="19"/>
                <w:szCs w:val="19"/>
              </w:rPr>
              <w:t xml:space="preserve">1 to 2 weeks including KYC</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B5</w:t>
            </w:r>
          </w:p>
        </w:tc>
        <w:tc>
          <w:tcPr>
            <w:tcW w:type="dxa" w:w="5200"/>
            <w:tcMar>
              <w:top w:type="dxa" w:w="90"/>
              <w:left w:type="dxa" w:w="120"/>
              <w:bottom w:type="dxa" w:w="90"/>
              <w:right w:type="dxa" w:w="120"/>
            </w:tcMar>
          </w:tcPr>
          <w:p>
            <w:pPr>
              <w:spacing w:after="0" w:line="252"/>
            </w:pPr>
            <w:r>
              <w:rPr>
                <w:b w:val="false"/>
                <w:bCs w:val="false"/>
                <w:sz w:val="19"/>
                <w:szCs w:val="19"/>
              </w:rPr>
              <w:t xml:space="preserve">Identity provider for staff console access, and a decision on customer bring-your-own-IdP at launch</w:t>
            </w:r>
          </w:p>
        </w:tc>
        <w:tc>
          <w:tcPr>
            <w:tcW w:type="dxa" w:w="2000"/>
            <w:tcMar>
              <w:top w:type="dxa" w:w="90"/>
              <w:left w:type="dxa" w:w="120"/>
              <w:bottom w:type="dxa" w:w="90"/>
              <w:right w:type="dxa" w:w="120"/>
            </w:tcMar>
          </w:tcPr>
          <w:p>
            <w:pPr>
              <w:spacing w:after="0" w:line="252"/>
            </w:pPr>
            <w:r>
              <w:rPr>
                <w:b w:val="false"/>
                <w:bCs w:val="false"/>
                <w:sz w:val="19"/>
                <w:szCs w:val="19"/>
              </w:rPr>
              <w:t xml:space="preserve">IdP app registration, MFA policy</w:t>
            </w:r>
          </w:p>
        </w:tc>
        <w:tc>
          <w:tcPr>
            <w:tcW w:type="dxa" w:w="1126"/>
            <w:tcMar>
              <w:top w:type="dxa" w:w="90"/>
              <w:left w:type="dxa" w:w="120"/>
              <w:bottom w:type="dxa" w:w="90"/>
              <w:right w:type="dxa" w:w="120"/>
            </w:tcMar>
          </w:tcPr>
          <w:p>
            <w:pPr>
              <w:spacing w:after="0" w:line="252"/>
            </w:pPr>
            <w:r>
              <w:rPr>
                <w:b w:val="false"/>
                <w:bCs w:val="false"/>
                <w:sz w:val="19"/>
                <w:szCs w:val="19"/>
              </w:rPr>
              <w:t xml:space="preserve">1 week</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B6</w:t>
            </w:r>
          </w:p>
        </w:tc>
        <w:tc>
          <w:tcPr>
            <w:tcW w:type="dxa" w:w="5200"/>
            <w:tcMar>
              <w:top w:type="dxa" w:w="90"/>
              <w:left w:type="dxa" w:w="120"/>
              <w:bottom w:type="dxa" w:w="90"/>
              <w:right w:type="dxa" w:w="120"/>
            </w:tcMar>
          </w:tcPr>
          <w:p>
            <w:pPr>
              <w:spacing w:after="0" w:line="252"/>
            </w:pPr>
            <w:r>
              <w:rPr>
                <w:b w:val="false"/>
                <w:bCs w:val="false"/>
                <w:sz w:val="19"/>
                <w:szCs w:val="19"/>
              </w:rPr>
              <w:t xml:space="preserve">Consent-management platform testing against the CMPs pilot customers actually use</w:t>
            </w:r>
          </w:p>
        </w:tc>
        <w:tc>
          <w:tcPr>
            <w:tcW w:type="dxa" w:w="2000"/>
            <w:tcMar>
              <w:top w:type="dxa" w:w="90"/>
              <w:left w:type="dxa" w:w="120"/>
              <w:bottom w:type="dxa" w:w="90"/>
              <w:right w:type="dxa" w:w="120"/>
            </w:tcMar>
          </w:tcPr>
          <w:p>
            <w:pPr>
              <w:spacing w:after="0" w:line="252"/>
            </w:pPr>
            <w:r>
              <w:rPr>
                <w:b w:val="false"/>
                <w:bCs w:val="false"/>
                <w:sz w:val="19"/>
                <w:szCs w:val="19"/>
              </w:rPr>
              <w:t xml:space="preserve">Test matrix</w:t>
            </w:r>
          </w:p>
        </w:tc>
        <w:tc>
          <w:tcPr>
            <w:tcW w:type="dxa" w:w="1126"/>
            <w:tcMar>
              <w:top w:type="dxa" w:w="90"/>
              <w:left w:type="dxa" w:w="120"/>
              <w:bottom w:type="dxa" w:w="90"/>
              <w:right w:type="dxa" w:w="120"/>
            </w:tcMar>
          </w:tcPr>
          <w:p>
            <w:pPr>
              <w:spacing w:after="0" w:line="252"/>
            </w:pPr>
            <w:r>
              <w:rPr>
                <w:b w:val="false"/>
                <w:bCs w:val="false"/>
                <w:sz w:val="19"/>
                <w:szCs w:val="19"/>
              </w:rPr>
              <w:t xml:space="preserve">1 week, after pilots named</w:t>
            </w:r>
          </w:p>
        </w:tc>
      </w:tr>
    </w:tbl>
    <w:p>
      <w:pPr>
        <w:spacing w:after="120" w:line="276"/>
      </w:pPr>
      <w:r>
        <w:rPr>
          <w:b/>
          <w:bCs/>
        </w:rPr>
        <w:t xml:space="preserve">B3 is higher priority than the brief implied. </w:t>
      </w:r>
      <w:r>
        <w:t xml:space="preserve">Password reset is the only self-service route back into any account. Until email is configured, reset links are written to the process log instead of sent, which both fails the user and puts a credential into the log aggregator.</w:t>
      </w:r>
    </w:p>
    <w:p>
      <w:pPr>
        <w:pStyle w:val="Heading1"/>
        <w:spacing w:after="160" w:before="320"/>
      </w:pPr>
      <w:r>
        <w:t xml:space="preserve">5. Independent verification</w:t>
      </w:r>
    </w:p>
    <w:tbl>
      <w:tblPr>
        <w:tblW w:type="dxa" w:w="9026"/>
        <w:tblBorders>
          <w:top w:val="single" w:color="E3E8EF" w:sz="2"/>
          <w:left w:val="none"/>
          <w:bottom w:val="single" w:color="E3E8EF" w:sz="2"/>
          <w:right w:val="none"/>
          <w:insideH w:val="single" w:color="E3E8EF" w:sz="2"/>
          <w:insideV w:val="none"/>
        </w:tblBorders>
      </w:tblPr>
      <w:tblGrid>
        <w:gridCol w:w="700"/>
        <w:gridCol w:w="5600"/>
        <w:gridCol w:w="1400"/>
        <w:gridCol w:w="1326"/>
      </w:tblGrid>
      <w:tr>
        <w:trPr>
          <w:tblHeader/>
        </w:trPr>
        <w:tc>
          <w:tcPr>
            <w:tcW w:type="dxa" w:w="700"/>
            <w:shd w:fill="F1F4F8" w:color="auto" w:val="clear"/>
            <w:tcMar>
              <w:top w:type="dxa" w:w="90"/>
              <w:left w:type="dxa" w:w="120"/>
              <w:bottom w:type="dxa" w:w="90"/>
              <w:right w:type="dxa" w:w="120"/>
            </w:tcMar>
          </w:tcPr>
          <w:p>
            <w:pPr>
              <w:spacing w:after="0" w:line="252"/>
            </w:pPr>
            <w:r>
              <w:rPr>
                <w:b/>
                <w:bCs/>
                <w:sz w:val="19"/>
                <w:szCs w:val="19"/>
              </w:rPr>
              <w:t xml:space="preserve">#</w:t>
            </w:r>
          </w:p>
        </w:tc>
        <w:tc>
          <w:tcPr>
            <w:tcW w:type="dxa" w:w="5600"/>
            <w:shd w:fill="F1F4F8" w:color="auto" w:val="clear"/>
            <w:tcMar>
              <w:top w:type="dxa" w:w="90"/>
              <w:left w:type="dxa" w:w="120"/>
              <w:bottom w:type="dxa" w:w="90"/>
              <w:right w:type="dxa" w:w="120"/>
            </w:tcMar>
          </w:tcPr>
          <w:p>
            <w:pPr>
              <w:spacing w:after="0" w:line="252"/>
            </w:pPr>
            <w:r>
              <w:rPr>
                <w:b/>
                <w:bCs/>
                <w:sz w:val="19"/>
                <w:szCs w:val="19"/>
              </w:rPr>
              <w:t xml:space="preserve">Item</w:t>
            </w:r>
          </w:p>
        </w:tc>
        <w:tc>
          <w:tcPr>
            <w:tcW w:type="dxa" w:w="1400"/>
            <w:shd w:fill="F1F4F8" w:color="auto" w:val="clear"/>
            <w:tcMar>
              <w:top w:type="dxa" w:w="90"/>
              <w:left w:type="dxa" w:w="120"/>
              <w:bottom w:type="dxa" w:w="90"/>
              <w:right w:type="dxa" w:w="120"/>
            </w:tcMar>
          </w:tcPr>
          <w:p>
            <w:pPr>
              <w:spacing w:after="0" w:line="252"/>
            </w:pPr>
            <w:r>
              <w:rPr>
                <w:b/>
                <w:bCs/>
                <w:sz w:val="19"/>
                <w:szCs w:val="19"/>
              </w:rPr>
              <w:t xml:space="preserve">Owner</w:t>
            </w:r>
          </w:p>
        </w:tc>
        <w:tc>
          <w:tcPr>
            <w:tcW w:type="dxa" w:w="1326"/>
            <w:shd w:fill="F1F4F8" w:color="auto" w:val="clear"/>
            <w:tcMar>
              <w:top w:type="dxa" w:w="90"/>
              <w:left w:type="dxa" w:w="120"/>
              <w:bottom w:type="dxa" w:w="90"/>
              <w:right w:type="dxa" w:w="120"/>
            </w:tcMar>
          </w:tcPr>
          <w:p>
            <w:pPr>
              <w:spacing w:after="0" w:line="252"/>
            </w:pPr>
            <w:r>
              <w:rPr>
                <w:b/>
                <w:bCs/>
                <w:sz w:val="19"/>
                <w:szCs w:val="19"/>
              </w:rPr>
              <w:t xml:space="preserve">Gate</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C1</w:t>
            </w:r>
          </w:p>
        </w:tc>
        <w:tc>
          <w:tcPr>
            <w:tcW w:type="dxa" w:w="5600"/>
            <w:tcMar>
              <w:top w:type="dxa" w:w="90"/>
              <w:left w:type="dxa" w:w="120"/>
              <w:bottom w:type="dxa" w:w="90"/>
              <w:right w:type="dxa" w:w="120"/>
            </w:tcMar>
          </w:tcPr>
          <w:p>
            <w:pPr>
              <w:spacing w:after="0" w:line="252"/>
            </w:pPr>
            <w:r>
              <w:rPr>
                <w:b w:val="false"/>
                <w:bCs w:val="false"/>
                <w:sz w:val="19"/>
                <w:szCs w:val="19"/>
              </w:rPr>
              <w:t xml:space="preserve">Green CI on a clean clone, including the Postgres and Redis jobs</w:t>
            </w:r>
          </w:p>
        </w:tc>
        <w:tc>
          <w:tcPr>
            <w:tcW w:type="dxa" w:w="1400"/>
            <w:tcMar>
              <w:top w:type="dxa" w:w="90"/>
              <w:left w:type="dxa" w:w="120"/>
              <w:bottom w:type="dxa" w:w="90"/>
              <w:right w:type="dxa" w:w="120"/>
            </w:tcMar>
          </w:tcPr>
          <w:p>
            <w:pPr>
              <w:spacing w:after="0" w:line="252"/>
            </w:pPr>
            <w:r>
              <w:rPr>
                <w:b w:val="false"/>
                <w:bCs w:val="false"/>
                <w:sz w:val="19"/>
                <w:szCs w:val="19"/>
              </w:rPr>
              <w:t xml:space="preserve">Tom</w:t>
            </w:r>
          </w:p>
        </w:tc>
        <w:tc>
          <w:tcPr>
            <w:tcW w:type="dxa" w:w="1326"/>
            <w:tcMar>
              <w:top w:type="dxa" w:w="90"/>
              <w:left w:type="dxa" w:w="120"/>
              <w:bottom w:type="dxa" w:w="90"/>
              <w:right w:type="dxa" w:w="120"/>
            </w:tcMar>
          </w:tcPr>
          <w:p>
            <w:pPr>
              <w:spacing w:after="0" w:line="252"/>
            </w:pPr>
            <w:r>
              <w:rPr>
                <w:b w:val="false"/>
                <w:bCs w:val="false"/>
                <w:sz w:val="19"/>
                <w:szCs w:val="19"/>
              </w:rPr>
              <w:t xml:space="preserve">Pilot. Met today; keep it met by making the jobs required</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C2</w:t>
            </w:r>
          </w:p>
        </w:tc>
        <w:tc>
          <w:tcPr>
            <w:tcW w:type="dxa" w:w="5600"/>
            <w:tcMar>
              <w:top w:type="dxa" w:w="90"/>
              <w:left w:type="dxa" w:w="120"/>
              <w:bottom w:type="dxa" w:w="90"/>
              <w:right w:type="dxa" w:w="120"/>
            </w:tcMar>
          </w:tcPr>
          <w:p>
            <w:pPr>
              <w:spacing w:after="0" w:line="252"/>
            </w:pPr>
            <w:r>
              <w:rPr>
                <w:b w:val="false"/>
                <w:bCs w:val="false"/>
                <w:sz w:val="19"/>
                <w:szCs w:val="19"/>
              </w:rPr>
              <w:t xml:space="preserve">Staging acceptance: deploy to A3 to A7, run the golden path end to end, and the restart test</w:t>
            </w:r>
          </w:p>
        </w:tc>
        <w:tc>
          <w:tcPr>
            <w:tcW w:type="dxa" w:w="1400"/>
            <w:tcMar>
              <w:top w:type="dxa" w:w="90"/>
              <w:left w:type="dxa" w:w="120"/>
              <w:bottom w:type="dxa" w:w="90"/>
              <w:right w:type="dxa" w:w="120"/>
            </w:tcMar>
          </w:tcPr>
          <w:p>
            <w:pPr>
              <w:spacing w:after="0" w:line="252"/>
            </w:pPr>
            <w:r>
              <w:rPr>
                <w:b w:val="false"/>
                <w:bCs w:val="false"/>
                <w:sz w:val="19"/>
                <w:szCs w:val="19"/>
              </w:rPr>
              <w:t xml:space="preserve">Tom</w:t>
            </w:r>
          </w:p>
        </w:tc>
        <w:tc>
          <w:tcPr>
            <w:tcW w:type="dxa" w:w="1326"/>
            <w:tcMar>
              <w:top w:type="dxa" w:w="90"/>
              <w:left w:type="dxa" w:w="120"/>
              <w:bottom w:type="dxa" w:w="90"/>
              <w:right w:type="dxa" w:w="120"/>
            </w:tcMar>
          </w:tcPr>
          <w:p>
            <w:pPr>
              <w:spacing w:after="0" w:line="252"/>
            </w:pPr>
            <w:r>
              <w:rPr>
                <w:b w:val="false"/>
                <w:bCs w:val="false"/>
                <w:sz w:val="19"/>
                <w:szCs w:val="19"/>
              </w:rPr>
              <w:t xml:space="preserve">Pilot</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C3</w:t>
            </w:r>
          </w:p>
        </w:tc>
        <w:tc>
          <w:tcPr>
            <w:tcW w:type="dxa" w:w="5600"/>
            <w:tcMar>
              <w:top w:type="dxa" w:w="90"/>
              <w:left w:type="dxa" w:w="120"/>
              <w:bottom w:type="dxa" w:w="90"/>
              <w:right w:type="dxa" w:w="120"/>
            </w:tcMar>
          </w:tcPr>
          <w:p>
            <w:pPr>
              <w:spacing w:after="0" w:line="252"/>
            </w:pPr>
            <w:r>
              <w:rPr>
                <w:b w:val="false"/>
                <w:bCs w:val="false"/>
                <w:sz w:val="19"/>
                <w:szCs w:val="19"/>
              </w:rPr>
              <w:t xml:space="preserve">Load test at pilot concurrency times five; rate limits and spend caps hold; no cross-tenant errors</w:t>
            </w:r>
          </w:p>
        </w:tc>
        <w:tc>
          <w:tcPr>
            <w:tcW w:type="dxa" w:w="1400"/>
            <w:tcMar>
              <w:top w:type="dxa" w:w="90"/>
              <w:left w:type="dxa" w:w="120"/>
              <w:bottom w:type="dxa" w:w="90"/>
              <w:right w:type="dxa" w:w="120"/>
            </w:tcMar>
          </w:tcPr>
          <w:p>
            <w:pPr>
              <w:spacing w:after="0" w:line="252"/>
            </w:pPr>
            <w:r>
              <w:rPr>
                <w:b w:val="false"/>
                <w:bCs w:val="false"/>
                <w:sz w:val="19"/>
                <w:szCs w:val="19"/>
              </w:rPr>
              <w:t xml:space="preserve">Tom</w:t>
            </w:r>
          </w:p>
        </w:tc>
        <w:tc>
          <w:tcPr>
            <w:tcW w:type="dxa" w:w="1326"/>
            <w:tcMar>
              <w:top w:type="dxa" w:w="90"/>
              <w:left w:type="dxa" w:w="120"/>
              <w:bottom w:type="dxa" w:w="90"/>
              <w:right w:type="dxa" w:w="120"/>
            </w:tcMar>
          </w:tcPr>
          <w:p>
            <w:pPr>
              <w:spacing w:after="0" w:line="252"/>
            </w:pPr>
            <w:r>
              <w:rPr>
                <w:b w:val="false"/>
                <w:bCs w:val="false"/>
                <w:sz w:val="19"/>
                <w:szCs w:val="19"/>
              </w:rPr>
              <w:t xml:space="preserve">Pilot</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C4</w:t>
            </w:r>
          </w:p>
        </w:tc>
        <w:tc>
          <w:tcPr>
            <w:tcW w:type="dxa" w:w="5600"/>
            <w:tcMar>
              <w:top w:type="dxa" w:w="90"/>
              <w:left w:type="dxa" w:w="120"/>
              <w:bottom w:type="dxa" w:w="90"/>
              <w:right w:type="dxa" w:w="120"/>
            </w:tcMar>
          </w:tcPr>
          <w:p>
            <w:pPr>
              <w:spacing w:after="0" w:line="252"/>
            </w:pPr>
            <w:r>
              <w:rPr>
                <w:b w:val="false"/>
                <w:bCs w:val="false"/>
                <w:sz w:val="19"/>
                <w:szCs w:val="19"/>
              </w:rPr>
              <w:t xml:space="preserve">Penetration test, CREST or CHECK accredited. Scope: API, widget, console, all three sign-in realms, MFA, webhooks, multi-tenant isolation on real RLS. Book now, test after C2</w:t>
            </w:r>
          </w:p>
        </w:tc>
        <w:tc>
          <w:tcPr>
            <w:tcW w:type="dxa" w:w="1400"/>
            <w:tcMar>
              <w:top w:type="dxa" w:w="90"/>
              <w:left w:type="dxa" w:w="120"/>
              <w:bottom w:type="dxa" w:w="90"/>
              <w:right w:type="dxa" w:w="120"/>
            </w:tcMar>
          </w:tcPr>
          <w:p>
            <w:pPr>
              <w:spacing w:after="0" w:line="252"/>
            </w:pPr>
            <w:r>
              <w:rPr>
                <w:b w:val="false"/>
                <w:bCs w:val="false"/>
                <w:sz w:val="19"/>
                <w:szCs w:val="19"/>
              </w:rPr>
              <w:t xml:space="preserve">Tony books, Tom scopes</w:t>
            </w:r>
          </w:p>
        </w:tc>
        <w:tc>
          <w:tcPr>
            <w:tcW w:type="dxa" w:w="1326"/>
            <w:tcMar>
              <w:top w:type="dxa" w:w="90"/>
              <w:left w:type="dxa" w:w="120"/>
              <w:bottom w:type="dxa" w:w="90"/>
              <w:right w:type="dxa" w:w="120"/>
            </w:tcMar>
          </w:tcPr>
          <w:p>
            <w:pPr>
              <w:spacing w:after="0" w:line="252"/>
            </w:pPr>
            <w:r>
              <w:rPr>
                <w:b w:val="false"/>
                <w:bCs w:val="false"/>
                <w:sz w:val="19"/>
                <w:szCs w:val="19"/>
              </w:rPr>
              <w:t xml:space="preserve">GA</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C5</w:t>
            </w:r>
          </w:p>
        </w:tc>
        <w:tc>
          <w:tcPr>
            <w:tcW w:type="dxa" w:w="5600"/>
            <w:tcMar>
              <w:top w:type="dxa" w:w="90"/>
              <w:left w:type="dxa" w:w="120"/>
              <w:bottom w:type="dxa" w:w="90"/>
              <w:right w:type="dxa" w:w="120"/>
            </w:tcMar>
          </w:tcPr>
          <w:p>
            <w:pPr>
              <w:spacing w:after="0" w:line="252"/>
            </w:pPr>
            <w:r>
              <w:rPr>
                <w:b w:val="false"/>
                <w:bCs w:val="false"/>
                <w:sz w:val="19"/>
                <w:szCs w:val="19"/>
              </w:rPr>
              <w:t xml:space="preserve">Independent WCAG 2.2 AA audit of the widget and console</w:t>
            </w:r>
          </w:p>
        </w:tc>
        <w:tc>
          <w:tcPr>
            <w:tcW w:type="dxa" w:w="1400"/>
            <w:tcMar>
              <w:top w:type="dxa" w:w="90"/>
              <w:left w:type="dxa" w:w="120"/>
              <w:bottom w:type="dxa" w:w="90"/>
              <w:right w:type="dxa" w:w="120"/>
            </w:tcMar>
          </w:tcPr>
          <w:p>
            <w:pPr>
              <w:spacing w:after="0" w:line="252"/>
            </w:pPr>
            <w:r>
              <w:rPr>
                <w:b w:val="false"/>
                <w:bCs w:val="false"/>
                <w:sz w:val="19"/>
                <w:szCs w:val="19"/>
              </w:rPr>
              <w:t xml:space="preserve">Tony books</w:t>
            </w:r>
          </w:p>
        </w:tc>
        <w:tc>
          <w:tcPr>
            <w:tcW w:type="dxa" w:w="1326"/>
            <w:tcMar>
              <w:top w:type="dxa" w:w="90"/>
              <w:left w:type="dxa" w:w="120"/>
              <w:bottom w:type="dxa" w:w="90"/>
              <w:right w:type="dxa" w:w="120"/>
            </w:tcMar>
          </w:tcPr>
          <w:p>
            <w:pPr>
              <w:spacing w:after="0" w:line="252"/>
            </w:pPr>
            <w:r>
              <w:rPr>
                <w:b w:val="false"/>
                <w:bCs w:val="false"/>
                <w:sz w:val="19"/>
                <w:szCs w:val="19"/>
              </w:rPr>
              <w:t xml:space="preserve">GA</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C6</w:t>
            </w:r>
          </w:p>
        </w:tc>
        <w:tc>
          <w:tcPr>
            <w:tcW w:type="dxa" w:w="5600"/>
            <w:tcMar>
              <w:top w:type="dxa" w:w="90"/>
              <w:left w:type="dxa" w:w="120"/>
              <w:bottom w:type="dxa" w:w="90"/>
              <w:right w:type="dxa" w:w="120"/>
            </w:tcMar>
          </w:tcPr>
          <w:p>
            <w:pPr>
              <w:spacing w:after="0" w:line="252"/>
            </w:pPr>
            <w:r>
              <w:rPr>
                <w:b w:val="false"/>
                <w:bCs w:val="false"/>
                <w:sz w:val="19"/>
                <w:szCs w:val="19"/>
              </w:rPr>
              <w:t xml:space="preserve">Real-site browser matrix on pilot customers’ own sites, including strict-CSP hosts</w:t>
            </w:r>
          </w:p>
        </w:tc>
        <w:tc>
          <w:tcPr>
            <w:tcW w:type="dxa" w:w="1400"/>
            <w:tcMar>
              <w:top w:type="dxa" w:w="90"/>
              <w:left w:type="dxa" w:w="120"/>
              <w:bottom w:type="dxa" w:w="90"/>
              <w:right w:type="dxa" w:w="120"/>
            </w:tcMar>
          </w:tcPr>
          <w:p>
            <w:pPr>
              <w:spacing w:after="0" w:line="252"/>
            </w:pPr>
            <w:r>
              <w:rPr>
                <w:b w:val="false"/>
                <w:bCs w:val="false"/>
                <w:sz w:val="19"/>
                <w:szCs w:val="19"/>
              </w:rPr>
              <w:t xml:space="preserve">Tom</w:t>
            </w:r>
          </w:p>
        </w:tc>
        <w:tc>
          <w:tcPr>
            <w:tcW w:type="dxa" w:w="1326"/>
            <w:tcMar>
              <w:top w:type="dxa" w:w="90"/>
              <w:left w:type="dxa" w:w="120"/>
              <w:bottom w:type="dxa" w:w="90"/>
              <w:right w:type="dxa" w:w="120"/>
            </w:tcMar>
          </w:tcPr>
          <w:p>
            <w:pPr>
              <w:spacing w:after="0" w:line="252"/>
            </w:pPr>
            <w:r>
              <w:rPr>
                <w:b w:val="false"/>
                <w:bCs w:val="false"/>
                <w:sz w:val="19"/>
                <w:szCs w:val="19"/>
              </w:rPr>
              <w:t xml:space="preserve">Pilot</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C7</w:t>
            </w:r>
          </w:p>
        </w:tc>
        <w:tc>
          <w:tcPr>
            <w:tcW w:type="dxa" w:w="5600"/>
            <w:tcMar>
              <w:top w:type="dxa" w:w="90"/>
              <w:left w:type="dxa" w:w="120"/>
              <w:bottom w:type="dxa" w:w="90"/>
              <w:right w:type="dxa" w:w="120"/>
            </w:tcMar>
          </w:tcPr>
          <w:p>
            <w:pPr>
              <w:spacing w:after="0" w:line="252"/>
            </w:pPr>
            <w:r>
              <w:rPr>
                <w:b w:val="false"/>
                <w:bCs w:val="false"/>
                <w:sz w:val="19"/>
                <w:szCs w:val="19"/>
              </w:rPr>
              <w:t xml:space="preserve">Disaster-recovery drill: restore PITR to a fresh instance, boot against it, record RTO and RPO. Repeat quarterly</w:t>
            </w:r>
          </w:p>
        </w:tc>
        <w:tc>
          <w:tcPr>
            <w:tcW w:type="dxa" w:w="1400"/>
            <w:tcMar>
              <w:top w:type="dxa" w:w="90"/>
              <w:left w:type="dxa" w:w="120"/>
              <w:bottom w:type="dxa" w:w="90"/>
              <w:right w:type="dxa" w:w="120"/>
            </w:tcMar>
          </w:tcPr>
          <w:p>
            <w:pPr>
              <w:spacing w:after="0" w:line="252"/>
            </w:pPr>
            <w:r>
              <w:rPr>
                <w:b w:val="false"/>
                <w:bCs w:val="false"/>
                <w:sz w:val="19"/>
                <w:szCs w:val="19"/>
              </w:rPr>
              <w:t xml:space="preserve">Tom</w:t>
            </w:r>
          </w:p>
        </w:tc>
        <w:tc>
          <w:tcPr>
            <w:tcW w:type="dxa" w:w="1326"/>
            <w:tcMar>
              <w:top w:type="dxa" w:w="90"/>
              <w:left w:type="dxa" w:w="120"/>
              <w:bottom w:type="dxa" w:w="90"/>
              <w:right w:type="dxa" w:w="120"/>
            </w:tcMar>
          </w:tcPr>
          <w:p>
            <w:pPr>
              <w:spacing w:after="0" w:line="252"/>
            </w:pPr>
            <w:r>
              <w:rPr>
                <w:b w:val="false"/>
                <w:bCs w:val="false"/>
                <w:sz w:val="19"/>
                <w:szCs w:val="19"/>
              </w:rPr>
              <w:t xml:space="preserve">Pilot</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C8</w:t>
            </w:r>
          </w:p>
        </w:tc>
        <w:tc>
          <w:tcPr>
            <w:tcW w:type="dxa" w:w="5600"/>
            <w:tcMar>
              <w:top w:type="dxa" w:w="90"/>
              <w:left w:type="dxa" w:w="120"/>
              <w:bottom w:type="dxa" w:w="90"/>
              <w:right w:type="dxa" w:w="120"/>
            </w:tcMar>
          </w:tcPr>
          <w:p>
            <w:pPr>
              <w:spacing w:after="0" w:line="252"/>
            </w:pPr>
            <w:r>
              <w:rPr>
                <w:b w:val="false"/>
                <w:bCs w:val="false"/>
                <w:sz w:val="19"/>
                <w:szCs w:val="19"/>
              </w:rPr>
              <w:t xml:space="preserve">Model evaluation sign-off against the live provider on our own corpus</w:t>
            </w:r>
          </w:p>
        </w:tc>
        <w:tc>
          <w:tcPr>
            <w:tcW w:type="dxa" w:w="1400"/>
            <w:tcMar>
              <w:top w:type="dxa" w:w="90"/>
              <w:left w:type="dxa" w:w="120"/>
              <w:bottom w:type="dxa" w:w="90"/>
              <w:right w:type="dxa" w:w="120"/>
            </w:tcMar>
          </w:tcPr>
          <w:p>
            <w:pPr>
              <w:spacing w:after="0" w:line="252"/>
            </w:pPr>
            <w:r>
              <w:rPr>
                <w:b w:val="false"/>
                <w:bCs w:val="false"/>
                <w:sz w:val="19"/>
                <w:szCs w:val="19"/>
              </w:rPr>
              <w:t xml:space="preserve">Tom</w:t>
            </w:r>
          </w:p>
        </w:tc>
        <w:tc>
          <w:tcPr>
            <w:tcW w:type="dxa" w:w="1326"/>
            <w:tcMar>
              <w:top w:type="dxa" w:w="90"/>
              <w:left w:type="dxa" w:w="120"/>
              <w:bottom w:type="dxa" w:w="90"/>
              <w:right w:type="dxa" w:w="120"/>
            </w:tcMar>
          </w:tcPr>
          <w:p>
            <w:pPr>
              <w:spacing w:after="0" w:line="252"/>
            </w:pPr>
            <w:r>
              <w:rPr>
                <w:b w:val="false"/>
                <w:bCs w:val="false"/>
                <w:sz w:val="19"/>
                <w:szCs w:val="19"/>
              </w:rPr>
              <w:t xml:space="preserve">Pilot</w:t>
            </w:r>
          </w:p>
        </w:tc>
      </w:tr>
    </w:tbl>
    <w:p>
      <w:r>
        <w:br w:type="page"/>
      </w:r>
    </w:p>
    <w:p>
      <w:pPr>
        <w:pStyle w:val="Heading1"/>
        <w:spacing w:after="160" w:before="320"/>
      </w:pPr>
      <w:r>
        <w:t xml:space="preserve">6. Operations · Tom</w:t>
      </w:r>
    </w:p>
    <w:tbl>
      <w:tblPr>
        <w:tblW w:type="dxa" w:w="9026"/>
        <w:tblBorders>
          <w:top w:val="single" w:color="E3E8EF" w:sz="2"/>
          <w:left w:val="none"/>
          <w:bottom w:val="single" w:color="E3E8EF" w:sz="2"/>
          <w:right w:val="none"/>
          <w:insideH w:val="single" w:color="E3E8EF" w:sz="2"/>
          <w:insideV w:val="none"/>
        </w:tblBorders>
      </w:tblPr>
      <w:tblGrid>
        <w:gridCol w:w="700"/>
        <w:gridCol w:w="8326"/>
      </w:tblGrid>
      <w:tr>
        <w:trPr>
          <w:tblHeader/>
        </w:trPr>
        <w:tc>
          <w:tcPr>
            <w:tcW w:type="dxa" w:w="700"/>
            <w:shd w:fill="F1F4F8" w:color="auto" w:val="clear"/>
            <w:tcMar>
              <w:top w:type="dxa" w:w="90"/>
              <w:left w:type="dxa" w:w="120"/>
              <w:bottom w:type="dxa" w:w="90"/>
              <w:right w:type="dxa" w:w="120"/>
            </w:tcMar>
          </w:tcPr>
          <w:p>
            <w:pPr>
              <w:spacing w:after="0" w:line="252"/>
            </w:pPr>
            <w:r>
              <w:rPr>
                <w:b/>
                <w:bCs/>
                <w:sz w:val="19"/>
                <w:szCs w:val="19"/>
              </w:rPr>
              <w:t xml:space="preserve">#</w:t>
            </w:r>
          </w:p>
        </w:tc>
        <w:tc>
          <w:tcPr>
            <w:tcW w:type="dxa" w:w="8326"/>
            <w:shd w:fill="F1F4F8" w:color="auto" w:val="clear"/>
            <w:tcMar>
              <w:top w:type="dxa" w:w="90"/>
              <w:left w:type="dxa" w:w="120"/>
              <w:bottom w:type="dxa" w:w="90"/>
              <w:right w:type="dxa" w:w="120"/>
            </w:tcMar>
          </w:tcPr>
          <w:p>
            <w:pPr>
              <w:spacing w:after="0" w:line="252"/>
            </w:pPr>
            <w:r>
              <w:rPr>
                <w:b/>
                <w:bCs/>
                <w:sz w:val="19"/>
                <w:szCs w:val="19"/>
              </w:rPr>
              <w:t xml:space="preserve">Item</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D1</w:t>
            </w:r>
          </w:p>
        </w:tc>
        <w:tc>
          <w:tcPr>
            <w:tcW w:type="dxa" w:w="8326"/>
            <w:tcMar>
              <w:top w:type="dxa" w:w="90"/>
              <w:left w:type="dxa" w:w="120"/>
              <w:bottom w:type="dxa" w:w="90"/>
              <w:right w:type="dxa" w:w="120"/>
            </w:tcMar>
          </w:tcPr>
          <w:p>
            <w:pPr>
              <w:spacing w:after="0" w:line="252"/>
            </w:pPr>
            <w:r>
              <w:rPr>
                <w:b w:val="false"/>
                <w:bCs w:val="false"/>
                <w:sz w:val="19"/>
                <w:szCs w:val="19"/>
              </w:rPr>
              <w:t xml:space="preserve">Observability destination and OTLP credentials; import the alert rules; route alerts to a paging tool</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D2</w:t>
            </w:r>
          </w:p>
        </w:tc>
        <w:tc>
          <w:tcPr>
            <w:tcW w:type="dxa" w:w="8326"/>
            <w:tcMar>
              <w:top w:type="dxa" w:w="90"/>
              <w:left w:type="dxa" w:w="120"/>
              <w:bottom w:type="dxa" w:w="90"/>
              <w:right w:type="dxa" w:w="120"/>
            </w:tcMar>
          </w:tcPr>
          <w:p>
            <w:pPr>
              <w:spacing w:after="0" w:line="252"/>
            </w:pPr>
            <w:r>
              <w:rPr>
                <w:b w:val="false"/>
                <w:bCs w:val="false"/>
                <w:sz w:val="19"/>
                <w:szCs w:val="19"/>
              </w:rPr>
              <w:t xml:space="preserve">On-call rota, severity definitions, escalation, customer notification template, post-incident template</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D3</w:t>
            </w:r>
          </w:p>
        </w:tc>
        <w:tc>
          <w:tcPr>
            <w:tcW w:type="dxa" w:w="8326"/>
            <w:tcMar>
              <w:top w:type="dxa" w:w="90"/>
              <w:left w:type="dxa" w:w="120"/>
              <w:bottom w:type="dxa" w:w="90"/>
              <w:right w:type="dxa" w:w="120"/>
            </w:tcMar>
          </w:tcPr>
          <w:p>
            <w:pPr>
              <w:spacing w:after="0" w:line="252"/>
            </w:pPr>
            <w:r>
              <w:rPr>
                <w:b w:val="false"/>
                <w:bCs w:val="false"/>
                <w:sz w:val="19"/>
                <w:szCs w:val="19"/>
              </w:rPr>
              <w:t xml:space="preserve">Backups and restore: PITR on, monthly restore test, backup encryption keys in KMS</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D4</w:t>
            </w:r>
          </w:p>
        </w:tc>
        <w:tc>
          <w:tcPr>
            <w:tcW w:type="dxa" w:w="8326"/>
            <w:tcMar>
              <w:top w:type="dxa" w:w="90"/>
              <w:left w:type="dxa" w:w="120"/>
              <w:bottom w:type="dxa" w:w="90"/>
              <w:right w:type="dxa" w:w="120"/>
            </w:tcMar>
          </w:tcPr>
          <w:p>
            <w:pPr>
              <w:spacing w:after="0" w:line="252"/>
            </w:pPr>
            <w:r>
              <w:rPr>
                <w:b w:val="false"/>
                <w:bCs w:val="false"/>
                <w:sz w:val="19"/>
                <w:szCs w:val="19"/>
              </w:rPr>
              <w:t xml:space="preserve">Public status page with components for API, widget CDN, console and CRM sync; subscribe pilot customers</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D5</w:t>
            </w:r>
          </w:p>
        </w:tc>
        <w:tc>
          <w:tcPr>
            <w:tcW w:type="dxa" w:w="8326"/>
            <w:tcMar>
              <w:top w:type="dxa" w:w="90"/>
              <w:left w:type="dxa" w:w="120"/>
              <w:bottom w:type="dxa" w:w="90"/>
              <w:right w:type="dxa" w:w="120"/>
            </w:tcMar>
          </w:tcPr>
          <w:p>
            <w:pPr>
              <w:spacing w:after="0" w:line="252"/>
            </w:pPr>
            <w:r>
              <w:rPr>
                <w:b w:val="false"/>
                <w:bCs w:val="false"/>
                <w:sz w:val="19"/>
                <w:szCs w:val="19"/>
              </w:rPr>
              <w:t xml:space="preserve">Retention, DSAR intake channel and 30-day SLA, deletion procedure, completions logged</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D6</w:t>
            </w:r>
          </w:p>
        </w:tc>
        <w:tc>
          <w:tcPr>
            <w:tcW w:type="dxa" w:w="8326"/>
            <w:tcMar>
              <w:top w:type="dxa" w:w="90"/>
              <w:left w:type="dxa" w:w="120"/>
              <w:bottom w:type="dxa" w:w="90"/>
              <w:right w:type="dxa" w:w="120"/>
            </w:tcMar>
          </w:tcPr>
          <w:p>
            <w:pPr>
              <w:spacing w:after="0" w:line="252"/>
            </w:pPr>
            <w:r>
              <w:rPr>
                <w:b w:val="false"/>
                <w:bCs w:val="false"/>
                <w:sz w:val="19"/>
                <w:szCs w:val="19"/>
              </w:rPr>
              <w:t xml:space="preserve">Cost monitoring on cloud, model provider and PSP, reviewed weekly during pilot</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D7</w:t>
            </w:r>
          </w:p>
        </w:tc>
        <w:tc>
          <w:tcPr>
            <w:tcW w:type="dxa" w:w="8326"/>
            <w:tcMar>
              <w:top w:type="dxa" w:w="90"/>
              <w:left w:type="dxa" w:w="120"/>
              <w:bottom w:type="dxa" w:w="90"/>
              <w:right w:type="dxa" w:w="120"/>
            </w:tcMar>
          </w:tcPr>
          <w:p>
            <w:pPr>
              <w:spacing w:after="0" w:line="252"/>
            </w:pPr>
            <w:r>
              <w:rPr>
                <w:b w:val="false"/>
                <w:bCs w:val="false"/>
                <w:sz w:val="19"/>
                <w:szCs w:val="19"/>
              </w:rPr>
              <w:t xml:space="preserve">Quarterly access review and a joiner/leaver checklist covering cloud, database, IdP and provider consoles</w:t>
            </w:r>
          </w:p>
        </w:tc>
      </w:tr>
    </w:tbl>
    <w:p>
      <w:pPr>
        <w:pStyle w:val="Heading1"/>
        <w:spacing w:after="160" w:before="320"/>
      </w:pPr>
      <w:r>
        <w:t xml:space="preserve">7. Legal and trust · Tony</w:t>
      </w:r>
    </w:p>
    <w:tbl>
      <w:tblPr>
        <w:tblW w:type="dxa" w:w="9026"/>
        <w:tblBorders>
          <w:top w:val="single" w:color="E3E8EF" w:sz="2"/>
          <w:left w:val="none"/>
          <w:bottom w:val="single" w:color="E3E8EF" w:sz="2"/>
          <w:right w:val="none"/>
          <w:insideH w:val="single" w:color="E3E8EF" w:sz="2"/>
          <w:insideV w:val="none"/>
        </w:tblBorders>
      </w:tblPr>
      <w:tblGrid>
        <w:gridCol w:w="700"/>
        <w:gridCol w:w="6600"/>
        <w:gridCol w:w="1726"/>
      </w:tblGrid>
      <w:tr>
        <w:trPr>
          <w:tblHeader/>
        </w:trPr>
        <w:tc>
          <w:tcPr>
            <w:tcW w:type="dxa" w:w="700"/>
            <w:shd w:fill="F1F4F8" w:color="auto" w:val="clear"/>
            <w:tcMar>
              <w:top w:type="dxa" w:w="90"/>
              <w:left w:type="dxa" w:w="120"/>
              <w:bottom w:type="dxa" w:w="90"/>
              <w:right w:type="dxa" w:w="120"/>
            </w:tcMar>
          </w:tcPr>
          <w:p>
            <w:pPr>
              <w:spacing w:after="0" w:line="252"/>
            </w:pPr>
            <w:r>
              <w:rPr>
                <w:b/>
                <w:bCs/>
                <w:sz w:val="19"/>
                <w:szCs w:val="19"/>
              </w:rPr>
              <w:t xml:space="preserve">#</w:t>
            </w:r>
          </w:p>
        </w:tc>
        <w:tc>
          <w:tcPr>
            <w:tcW w:type="dxa" w:w="6600"/>
            <w:shd w:fill="F1F4F8" w:color="auto" w:val="clear"/>
            <w:tcMar>
              <w:top w:type="dxa" w:w="90"/>
              <w:left w:type="dxa" w:w="120"/>
              <w:bottom w:type="dxa" w:w="90"/>
              <w:right w:type="dxa" w:w="120"/>
            </w:tcMar>
          </w:tcPr>
          <w:p>
            <w:pPr>
              <w:spacing w:after="0" w:line="252"/>
            </w:pPr>
            <w:r>
              <w:rPr>
                <w:b/>
                <w:bCs/>
                <w:sz w:val="19"/>
                <w:szCs w:val="19"/>
              </w:rPr>
              <w:t xml:space="preserve">Item</w:t>
            </w:r>
          </w:p>
        </w:tc>
        <w:tc>
          <w:tcPr>
            <w:tcW w:type="dxa" w:w="1726"/>
            <w:shd w:fill="F1F4F8" w:color="auto" w:val="clear"/>
            <w:tcMar>
              <w:top w:type="dxa" w:w="90"/>
              <w:left w:type="dxa" w:w="120"/>
              <w:bottom w:type="dxa" w:w="90"/>
              <w:right w:type="dxa" w:w="120"/>
            </w:tcMar>
          </w:tcPr>
          <w:p>
            <w:pPr>
              <w:spacing w:after="0" w:line="252"/>
            </w:pPr>
            <w:r>
              <w:rPr>
                <w:b/>
                <w:bCs/>
                <w:sz w:val="19"/>
                <w:szCs w:val="19"/>
              </w:rPr>
              <w:t xml:space="preserve">Gate</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E1</w:t>
            </w:r>
          </w:p>
        </w:tc>
        <w:tc>
          <w:tcPr>
            <w:tcW w:type="dxa" w:w="6600"/>
            <w:tcMar>
              <w:top w:type="dxa" w:w="90"/>
              <w:left w:type="dxa" w:w="120"/>
              <w:bottom w:type="dxa" w:w="90"/>
              <w:right w:type="dxa" w:w="120"/>
            </w:tcMar>
          </w:tcPr>
          <w:p>
            <w:pPr>
              <w:spacing w:after="0" w:line="252"/>
            </w:pPr>
            <w:r>
              <w:rPr>
                <w:b w:val="false"/>
                <w:bCs w:val="false"/>
                <w:sz w:val="19"/>
                <w:szCs w:val="19"/>
              </w:rPr>
              <w:t xml:space="preserve">Terms of Service and Order Form, with AI-specific terms and an SLA schedule per tier</w:t>
            </w:r>
          </w:p>
        </w:tc>
        <w:tc>
          <w:tcPr>
            <w:tcW w:type="dxa" w:w="1726"/>
            <w:tcMar>
              <w:top w:type="dxa" w:w="90"/>
              <w:left w:type="dxa" w:w="120"/>
              <w:bottom w:type="dxa" w:w="90"/>
              <w:right w:type="dxa" w:w="120"/>
            </w:tcMar>
          </w:tcPr>
          <w:p>
            <w:pPr>
              <w:spacing w:after="0" w:line="252"/>
            </w:pPr>
            <w:r>
              <w:rPr>
                <w:b w:val="false"/>
                <w:bCs w:val="false"/>
                <w:sz w:val="19"/>
                <w:szCs w:val="19"/>
              </w:rPr>
              <w:t xml:space="preserve">Pilot</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E2</w:t>
            </w:r>
          </w:p>
        </w:tc>
        <w:tc>
          <w:tcPr>
            <w:tcW w:type="dxa" w:w="6600"/>
            <w:tcMar>
              <w:top w:type="dxa" w:w="90"/>
              <w:left w:type="dxa" w:w="120"/>
              <w:bottom w:type="dxa" w:w="90"/>
              <w:right w:type="dxa" w:w="120"/>
            </w:tcMar>
          </w:tcPr>
          <w:p>
            <w:pPr>
              <w:spacing w:after="0" w:line="252"/>
            </w:pPr>
            <w:r>
              <w:rPr>
                <w:b w:val="false"/>
                <w:bCs w:val="false"/>
                <w:sz w:val="19"/>
                <w:szCs w:val="19"/>
              </w:rPr>
              <w:t xml:space="preserve">Data Processing Agreement: Article 28 terms, sub-processor list, transfer mechanism, 30-day notice of change</w:t>
            </w:r>
          </w:p>
        </w:tc>
        <w:tc>
          <w:tcPr>
            <w:tcW w:type="dxa" w:w="1726"/>
            <w:tcMar>
              <w:top w:type="dxa" w:w="90"/>
              <w:left w:type="dxa" w:w="120"/>
              <w:bottom w:type="dxa" w:w="90"/>
              <w:right w:type="dxa" w:w="120"/>
            </w:tcMar>
          </w:tcPr>
          <w:p>
            <w:pPr>
              <w:spacing w:after="0" w:line="252"/>
            </w:pPr>
            <w:r>
              <w:rPr>
                <w:b w:val="false"/>
                <w:bCs w:val="false"/>
                <w:sz w:val="19"/>
                <w:szCs w:val="19"/>
              </w:rPr>
              <w:t xml:space="preserve">Pilot</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E3</w:t>
            </w:r>
          </w:p>
        </w:tc>
        <w:tc>
          <w:tcPr>
            <w:tcW w:type="dxa" w:w="6600"/>
            <w:tcMar>
              <w:top w:type="dxa" w:w="90"/>
              <w:left w:type="dxa" w:w="120"/>
              <w:bottom w:type="dxa" w:w="90"/>
              <w:right w:type="dxa" w:w="120"/>
            </w:tcMar>
          </w:tcPr>
          <w:p>
            <w:pPr>
              <w:spacing w:after="0" w:line="252"/>
            </w:pPr>
            <w:r>
              <w:rPr>
                <w:b w:val="false"/>
                <w:bCs w:val="false"/>
                <w:sz w:val="19"/>
                <w:szCs w:val="19"/>
              </w:rPr>
              <w:t xml:space="preserve">Privacy notice and widget disclosure, visitor-facing and tenant-facing</w:t>
            </w:r>
          </w:p>
        </w:tc>
        <w:tc>
          <w:tcPr>
            <w:tcW w:type="dxa" w:w="1726"/>
            <w:tcMar>
              <w:top w:type="dxa" w:w="90"/>
              <w:left w:type="dxa" w:w="120"/>
              <w:bottom w:type="dxa" w:w="90"/>
              <w:right w:type="dxa" w:w="120"/>
            </w:tcMar>
          </w:tcPr>
          <w:p>
            <w:pPr>
              <w:spacing w:after="0" w:line="252"/>
            </w:pPr>
            <w:r>
              <w:rPr>
                <w:b w:val="false"/>
                <w:bCs w:val="false"/>
                <w:sz w:val="19"/>
                <w:szCs w:val="19"/>
              </w:rPr>
              <w:t xml:space="preserve">Pilot</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E4</w:t>
            </w:r>
          </w:p>
        </w:tc>
        <w:tc>
          <w:tcPr>
            <w:tcW w:type="dxa" w:w="6600"/>
            <w:tcMar>
              <w:top w:type="dxa" w:w="90"/>
              <w:left w:type="dxa" w:w="120"/>
              <w:bottom w:type="dxa" w:w="90"/>
              <w:right w:type="dxa" w:w="120"/>
            </w:tcMar>
          </w:tcPr>
          <w:p>
            <w:pPr>
              <w:spacing w:after="0" w:line="252"/>
            </w:pPr>
            <w:r>
              <w:rPr>
                <w:b w:val="false"/>
                <w:bCs w:val="false"/>
                <w:sz w:val="19"/>
                <w:szCs w:val="19"/>
              </w:rPr>
              <w:t xml:space="preserve">DPIA and legitimate-interest assessment: profiling of website visitors, enrichment vendors, transfer to the model provider</w:t>
            </w:r>
          </w:p>
        </w:tc>
        <w:tc>
          <w:tcPr>
            <w:tcW w:type="dxa" w:w="1726"/>
            <w:tcMar>
              <w:top w:type="dxa" w:w="90"/>
              <w:left w:type="dxa" w:w="120"/>
              <w:bottom w:type="dxa" w:w="90"/>
              <w:right w:type="dxa" w:w="120"/>
            </w:tcMar>
          </w:tcPr>
          <w:p>
            <w:pPr>
              <w:spacing w:after="0" w:line="252"/>
            </w:pPr>
            <w:r>
              <w:rPr>
                <w:b w:val="false"/>
                <w:bCs w:val="false"/>
                <w:sz w:val="19"/>
                <w:szCs w:val="19"/>
              </w:rPr>
              <w:t xml:space="preserve">Pilot</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E5</w:t>
            </w:r>
          </w:p>
        </w:tc>
        <w:tc>
          <w:tcPr>
            <w:tcW w:type="dxa" w:w="6600"/>
            <w:tcMar>
              <w:top w:type="dxa" w:w="90"/>
              <w:left w:type="dxa" w:w="120"/>
              <w:bottom w:type="dxa" w:w="90"/>
              <w:right w:type="dxa" w:w="120"/>
            </w:tcMar>
          </w:tcPr>
          <w:p>
            <w:pPr>
              <w:spacing w:after="0" w:line="252"/>
            </w:pPr>
            <w:r>
              <w:rPr>
                <w:b w:val="false"/>
                <w:bCs w:val="false"/>
                <w:sz w:val="19"/>
                <w:szCs w:val="19"/>
              </w:rPr>
              <w:t xml:space="preserve">ROPA, retention schedule, breach procedure with the 72-hour ICO path</w:t>
            </w:r>
          </w:p>
        </w:tc>
        <w:tc>
          <w:tcPr>
            <w:tcW w:type="dxa" w:w="1726"/>
            <w:tcMar>
              <w:top w:type="dxa" w:w="90"/>
              <w:left w:type="dxa" w:w="120"/>
              <w:bottom w:type="dxa" w:w="90"/>
              <w:right w:type="dxa" w:w="120"/>
            </w:tcMar>
          </w:tcPr>
          <w:p>
            <w:pPr>
              <w:spacing w:after="0" w:line="252"/>
            </w:pPr>
            <w:r>
              <w:rPr>
                <w:b w:val="false"/>
                <w:bCs w:val="false"/>
                <w:sz w:val="19"/>
                <w:szCs w:val="19"/>
              </w:rPr>
              <w:t xml:space="preserve">Pilot</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E6</w:t>
            </w:r>
          </w:p>
        </w:tc>
        <w:tc>
          <w:tcPr>
            <w:tcW w:type="dxa" w:w="6600"/>
            <w:tcMar>
              <w:top w:type="dxa" w:w="90"/>
              <w:left w:type="dxa" w:w="120"/>
              <w:bottom w:type="dxa" w:w="90"/>
              <w:right w:type="dxa" w:w="120"/>
            </w:tcMar>
          </w:tcPr>
          <w:p>
            <w:pPr>
              <w:spacing w:after="0" w:line="252"/>
            </w:pPr>
            <w:r>
              <w:rPr>
                <w:b w:val="false"/>
                <w:bCs w:val="false"/>
                <w:sz w:val="19"/>
                <w:szCs w:val="19"/>
              </w:rPr>
              <w:t xml:space="preserve">Cyber and professional indemnity insurance</w:t>
            </w:r>
          </w:p>
        </w:tc>
        <w:tc>
          <w:tcPr>
            <w:tcW w:type="dxa" w:w="1726"/>
            <w:tcMar>
              <w:top w:type="dxa" w:w="90"/>
              <w:left w:type="dxa" w:w="120"/>
              <w:bottom w:type="dxa" w:w="90"/>
              <w:right w:type="dxa" w:w="120"/>
            </w:tcMar>
          </w:tcPr>
          <w:p>
            <w:pPr>
              <w:spacing w:after="0" w:line="252"/>
            </w:pPr>
            <w:r>
              <w:rPr>
                <w:b w:val="false"/>
                <w:bCs w:val="false"/>
                <w:sz w:val="19"/>
                <w:szCs w:val="19"/>
              </w:rPr>
              <w:t xml:space="preserve">GA</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E7</w:t>
            </w:r>
          </w:p>
        </w:tc>
        <w:tc>
          <w:tcPr>
            <w:tcW w:type="dxa" w:w="6600"/>
            <w:tcMar>
              <w:top w:type="dxa" w:w="90"/>
              <w:left w:type="dxa" w:w="120"/>
              <w:bottom w:type="dxa" w:w="90"/>
              <w:right w:type="dxa" w:w="120"/>
            </w:tcMar>
          </w:tcPr>
          <w:p>
            <w:pPr>
              <w:spacing w:after="0" w:line="252"/>
            </w:pPr>
            <w:r>
              <w:rPr>
                <w:b w:val="false"/>
                <w:bCs w:val="false"/>
                <w:sz w:val="19"/>
                <w:szCs w:val="19"/>
              </w:rPr>
              <w:t xml:space="preserve">Publish the trust page and security questionnaire; decide Cyber Essentials Plus now and an ISO 27001 or SOC 2 roadmap</w:t>
            </w:r>
          </w:p>
        </w:tc>
        <w:tc>
          <w:tcPr>
            <w:tcW w:type="dxa" w:w="1726"/>
            <w:tcMar>
              <w:top w:type="dxa" w:w="90"/>
              <w:left w:type="dxa" w:w="120"/>
              <w:bottom w:type="dxa" w:w="90"/>
              <w:right w:type="dxa" w:w="120"/>
            </w:tcMar>
          </w:tcPr>
          <w:p>
            <w:pPr>
              <w:spacing w:after="0" w:line="252"/>
            </w:pPr>
            <w:r>
              <w:rPr>
                <w:b w:val="false"/>
                <w:bCs w:val="false"/>
                <w:sz w:val="19"/>
                <w:szCs w:val="19"/>
              </w:rPr>
              <w:t xml:space="preserve">GA</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E8</w:t>
            </w:r>
          </w:p>
        </w:tc>
        <w:tc>
          <w:tcPr>
            <w:tcW w:type="dxa" w:w="6600"/>
            <w:tcMar>
              <w:top w:type="dxa" w:w="90"/>
              <w:left w:type="dxa" w:w="120"/>
              <w:bottom w:type="dxa" w:w="90"/>
              <w:right w:type="dxa" w:w="120"/>
            </w:tcMar>
          </w:tcPr>
          <w:p>
            <w:pPr>
              <w:spacing w:after="0" w:line="252"/>
            </w:pPr>
            <w:r>
              <w:rPr>
                <w:b w:val="false"/>
                <w:bCs w:val="false"/>
                <w:sz w:val="19"/>
                <w:szCs w:val="19"/>
              </w:rPr>
              <w:t xml:space="preserve">Accessibility statement, published once C5 is done. Nothing needs correcting now: the code already refuses to claim conformance without a named auditor and a date</w:t>
            </w:r>
          </w:p>
        </w:tc>
        <w:tc>
          <w:tcPr>
            <w:tcW w:type="dxa" w:w="1726"/>
            <w:tcMar>
              <w:top w:type="dxa" w:w="90"/>
              <w:left w:type="dxa" w:w="120"/>
              <w:bottom w:type="dxa" w:w="90"/>
              <w:right w:type="dxa" w:w="120"/>
            </w:tcMar>
          </w:tcPr>
          <w:p>
            <w:pPr>
              <w:spacing w:after="0" w:line="252"/>
            </w:pPr>
            <w:r>
              <w:rPr>
                <w:b w:val="false"/>
                <w:bCs w:val="false"/>
                <w:sz w:val="19"/>
                <w:szCs w:val="19"/>
              </w:rPr>
              <w:t xml:space="preserve">Now</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E9</w:t>
            </w:r>
          </w:p>
        </w:tc>
        <w:tc>
          <w:tcPr>
            <w:tcW w:type="dxa" w:w="6600"/>
            <w:tcMar>
              <w:top w:type="dxa" w:w="90"/>
              <w:left w:type="dxa" w:w="120"/>
              <w:bottom w:type="dxa" w:w="90"/>
              <w:right w:type="dxa" w:w="120"/>
            </w:tcMar>
          </w:tcPr>
          <w:p>
            <w:pPr>
              <w:spacing w:after="0" w:line="252"/>
            </w:pPr>
            <w:r>
              <w:rPr>
                <w:b w:val="false"/>
                <w:bCs w:val="false"/>
                <w:sz w:val="19"/>
                <w:szCs w:val="19"/>
              </w:rPr>
              <w:t xml:space="preserve">Residency claim: only market UK or EU residency once A1 exists and routing is built</w:t>
            </w:r>
          </w:p>
        </w:tc>
        <w:tc>
          <w:tcPr>
            <w:tcW w:type="dxa" w:w="1726"/>
            <w:tcMar>
              <w:top w:type="dxa" w:w="90"/>
              <w:left w:type="dxa" w:w="120"/>
              <w:bottom w:type="dxa" w:w="90"/>
              <w:right w:type="dxa" w:w="120"/>
            </w:tcMar>
          </w:tcPr>
          <w:p>
            <w:pPr>
              <w:spacing w:after="0" w:line="252"/>
            </w:pPr>
            <w:r>
              <w:rPr>
                <w:b w:val="false"/>
                <w:bCs w:val="false"/>
                <w:sz w:val="19"/>
                <w:szCs w:val="19"/>
              </w:rPr>
              <w:t xml:space="preserve">Now</w:t>
            </w:r>
          </w:p>
        </w:tc>
      </w:tr>
    </w:tbl>
    <w:p>
      <w:pPr>
        <w:pStyle w:val="Heading1"/>
        <w:spacing w:after="160" w:before="320"/>
      </w:pPr>
      <w:r>
        <w:t xml:space="preserve">8. Commercial · Tony (Joint on pricing)</w:t>
      </w:r>
    </w:p>
    <w:tbl>
      <w:tblPr>
        <w:tblW w:type="dxa" w:w="9026"/>
        <w:tblBorders>
          <w:top w:val="single" w:color="E3E8EF" w:sz="2"/>
          <w:left w:val="none"/>
          <w:bottom w:val="single" w:color="E3E8EF" w:sz="2"/>
          <w:right w:val="none"/>
          <w:insideH w:val="single" w:color="E3E8EF" w:sz="2"/>
          <w:insideV w:val="none"/>
        </w:tblBorders>
      </w:tblPr>
      <w:tblGrid>
        <w:gridCol w:w="700"/>
        <w:gridCol w:w="8326"/>
      </w:tblGrid>
      <w:tr>
        <w:trPr>
          <w:tblHeader/>
        </w:trPr>
        <w:tc>
          <w:tcPr>
            <w:tcW w:type="dxa" w:w="700"/>
            <w:shd w:fill="F1F4F8" w:color="auto" w:val="clear"/>
            <w:tcMar>
              <w:top w:type="dxa" w:w="90"/>
              <w:left w:type="dxa" w:w="120"/>
              <w:bottom w:type="dxa" w:w="90"/>
              <w:right w:type="dxa" w:w="120"/>
            </w:tcMar>
          </w:tcPr>
          <w:p>
            <w:pPr>
              <w:spacing w:after="0" w:line="252"/>
            </w:pPr>
            <w:r>
              <w:rPr>
                <w:b/>
                <w:bCs/>
                <w:sz w:val="19"/>
                <w:szCs w:val="19"/>
              </w:rPr>
              <w:t xml:space="preserve">#</w:t>
            </w:r>
          </w:p>
        </w:tc>
        <w:tc>
          <w:tcPr>
            <w:tcW w:type="dxa" w:w="8326"/>
            <w:shd w:fill="F1F4F8" w:color="auto" w:val="clear"/>
            <w:tcMar>
              <w:top w:type="dxa" w:w="90"/>
              <w:left w:type="dxa" w:w="120"/>
              <w:bottom w:type="dxa" w:w="90"/>
              <w:right w:type="dxa" w:w="120"/>
            </w:tcMar>
          </w:tcPr>
          <w:p>
            <w:pPr>
              <w:spacing w:after="0" w:line="252"/>
            </w:pPr>
            <w:r>
              <w:rPr>
                <w:b/>
                <w:bCs/>
                <w:sz w:val="19"/>
                <w:szCs w:val="19"/>
              </w:rPr>
              <w:t xml:space="preserve">Item</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F1</w:t>
            </w:r>
          </w:p>
        </w:tc>
        <w:tc>
          <w:tcPr>
            <w:tcW w:type="dxa" w:w="8326"/>
            <w:tcMar>
              <w:top w:type="dxa" w:w="90"/>
              <w:left w:type="dxa" w:w="120"/>
              <w:bottom w:type="dxa" w:w="90"/>
              <w:right w:type="dxa" w:w="120"/>
            </w:tcMar>
          </w:tcPr>
          <w:p>
            <w:pPr>
              <w:spacing w:after="0" w:line="252"/>
            </w:pPr>
            <w:r>
              <w:rPr>
                <w:b w:val="false"/>
                <w:bCs w:val="false"/>
                <w:sz w:val="19"/>
                <w:szCs w:val="19"/>
              </w:rPr>
              <w:t xml:space="preserve">Scope freeze (Joint): the v1.0 spine is the only thing on the GA path. CMS, reseller programme, support desk and voice stay behind flags</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F2</w:t>
            </w:r>
          </w:p>
        </w:tc>
        <w:tc>
          <w:tcPr>
            <w:tcW w:type="dxa" w:w="8326"/>
            <w:tcMar>
              <w:top w:type="dxa" w:w="90"/>
              <w:left w:type="dxa" w:w="120"/>
              <w:bottom w:type="dxa" w:w="90"/>
              <w:right w:type="dxa" w:w="120"/>
            </w:tcMar>
          </w:tcPr>
          <w:p>
            <w:pPr>
              <w:spacing w:after="0" w:line="252"/>
            </w:pPr>
            <w:r>
              <w:rPr>
                <w:b w:val="false"/>
                <w:bCs w:val="false"/>
                <w:sz w:val="19"/>
                <w:szCs w:val="19"/>
              </w:rPr>
              <w:t xml:space="preserve">Pricing sign-off. The catalogue now carries five plans including the self-serve Answers tier at £9.99 a month and 50p a reply, capped at six chargeable replies per conversation. Confirm those numbers and that the outcome basis per tier is what the contract will say</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F3</w:t>
            </w:r>
          </w:p>
        </w:tc>
        <w:tc>
          <w:tcPr>
            <w:tcW w:type="dxa" w:w="8326"/>
            <w:tcMar>
              <w:top w:type="dxa" w:w="90"/>
              <w:left w:type="dxa" w:w="120"/>
              <w:bottom w:type="dxa" w:w="90"/>
              <w:right w:type="dxa" w:w="120"/>
            </w:tcMar>
          </w:tcPr>
          <w:p>
            <w:pPr>
              <w:spacing w:after="0" w:line="252"/>
            </w:pPr>
            <w:r>
              <w:rPr>
                <w:b w:val="false"/>
                <w:bCs w:val="false"/>
                <w:sz w:val="19"/>
                <w:szCs w:val="19"/>
              </w:rPr>
              <w:t xml:space="preserve">Two to three design-partner pilots: named, contracted, with written success criteria</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F4</w:t>
            </w:r>
          </w:p>
        </w:tc>
        <w:tc>
          <w:tcPr>
            <w:tcW w:type="dxa" w:w="8326"/>
            <w:tcMar>
              <w:top w:type="dxa" w:w="90"/>
              <w:left w:type="dxa" w:w="120"/>
              <w:bottom w:type="dxa" w:w="90"/>
              <w:right w:type="dxa" w:w="120"/>
            </w:tcMar>
          </w:tcPr>
          <w:p>
            <w:pPr>
              <w:spacing w:after="0" w:line="252"/>
            </w:pPr>
            <w:r>
              <w:rPr>
                <w:b w:val="false"/>
                <w:bCs w:val="false"/>
                <w:sz w:val="19"/>
                <w:szCs w:val="19"/>
              </w:rPr>
              <w:t xml:space="preserve">Sales collateral: assurance pack sample, ROI model, security questionnaire, architecture one-pager</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F5</w:t>
            </w:r>
          </w:p>
        </w:tc>
        <w:tc>
          <w:tcPr>
            <w:tcW w:type="dxa" w:w="8326"/>
            <w:tcMar>
              <w:top w:type="dxa" w:w="90"/>
              <w:left w:type="dxa" w:w="120"/>
              <w:bottom w:type="dxa" w:w="90"/>
              <w:right w:type="dxa" w:w="120"/>
            </w:tcMar>
          </w:tcPr>
          <w:p>
            <w:pPr>
              <w:spacing w:after="0" w:line="252"/>
            </w:pPr>
            <w:r>
              <w:rPr>
                <w:b w:val="false"/>
                <w:bCs w:val="false"/>
                <w:sz w:val="19"/>
                <w:szCs w:val="19"/>
              </w:rPr>
              <w:t xml:space="preserve">Support model: hours, channels and SLA per tier</w:t>
            </w:r>
          </w:p>
        </w:tc>
      </w:tr>
      <w:tr>
        <w:trPr>
          <w:tblHeader w:val="false"/>
        </w:trPr>
        <w:tc>
          <w:tcPr>
            <w:tcW w:type="dxa" w:w="700"/>
            <w:tcMar>
              <w:top w:type="dxa" w:w="90"/>
              <w:left w:type="dxa" w:w="120"/>
              <w:bottom w:type="dxa" w:w="90"/>
              <w:right w:type="dxa" w:w="120"/>
            </w:tcMar>
          </w:tcPr>
          <w:p>
            <w:pPr>
              <w:spacing w:after="0" w:line="252"/>
            </w:pPr>
            <w:r>
              <w:rPr>
                <w:b w:val="false"/>
                <w:bCs w:val="false"/>
                <w:sz w:val="19"/>
                <w:szCs w:val="19"/>
              </w:rPr>
              <w:t xml:space="preserve">F6</w:t>
            </w:r>
          </w:p>
        </w:tc>
        <w:tc>
          <w:tcPr>
            <w:tcW w:type="dxa" w:w="8326"/>
            <w:tcMar>
              <w:top w:type="dxa" w:w="90"/>
              <w:left w:type="dxa" w:w="120"/>
              <w:bottom w:type="dxa" w:w="90"/>
              <w:right w:type="dxa" w:w="120"/>
            </w:tcMar>
          </w:tcPr>
          <w:p>
            <w:pPr>
              <w:spacing w:after="0" w:line="252"/>
            </w:pPr>
            <w:r>
              <w:rPr>
                <w:b w:val="false"/>
                <w:bCs w:val="false"/>
                <w:sz w:val="19"/>
                <w:szCs w:val="19"/>
              </w:rPr>
              <w:t xml:space="preserve">Marketplace listings, after B2 approval. Post-GA</w:t>
            </w:r>
          </w:p>
        </w:tc>
      </w:tr>
    </w:tbl>
    <w:p>
      <w:r>
        <w:br w:type="page"/>
      </w:r>
    </w:p>
    <w:p>
      <w:pPr>
        <w:pStyle w:val="Heading1"/>
        <w:spacing w:after="160" w:before="320"/>
      </w:pPr>
      <w:r>
        <w:t xml:space="preserve">9. Gates</w:t>
      </w:r>
    </w:p>
    <w:p>
      <w:pPr>
        <w:pStyle w:val="Heading2"/>
        <w:spacing w:after="120" w:before="260"/>
      </w:pPr>
      <w:r>
        <w:t xml:space="preserve">Pilot gate, all required</w:t>
      </w:r>
    </w:p>
    <w:p>
      <w:pPr>
        <w:pStyle w:val="ListParagraph"/>
        <w:numPr>
          <w:ilvl w:val="0"/>
          <w:numId w:val="2"/>
        </w:numPr>
        <w:spacing w:after="80" w:line="276"/>
      </w:pPr>
      <w:r>
        <w:rPr>
          <w:b/>
          <w:bCs/>
        </w:rPr>
        <w:t xml:space="preserve">1. </w:t>
      </w:r>
      <w:r>
        <w:t xml:space="preserve">C1 green CI on a clean clone, with the Postgres and Redis jobs required on the branch.</w:t>
      </w:r>
    </w:p>
    <w:p>
      <w:pPr>
        <w:pStyle w:val="ListParagraph"/>
        <w:numPr>
          <w:ilvl w:val="0"/>
          <w:numId w:val="2"/>
        </w:numPr>
        <w:spacing w:after="80" w:line="276"/>
      </w:pPr>
      <w:r>
        <w:rPr>
          <w:b/>
          <w:bCs/>
        </w:rPr>
        <w:t xml:space="preserve">2. </w:t>
      </w:r>
      <w:r>
        <w:t xml:space="preserve">E1 and E2 done. Without E1 every widget breaks on every deploy; without E2 there is no way to add a second operator.</w:t>
      </w:r>
    </w:p>
    <w:p>
      <w:pPr>
        <w:pStyle w:val="ListParagraph"/>
        <w:numPr>
          <w:ilvl w:val="0"/>
          <w:numId w:val="2"/>
        </w:numPr>
        <w:spacing w:after="80" w:line="276"/>
      </w:pPr>
      <w:r>
        <w:rPr>
          <w:b/>
          <w:bCs/>
        </w:rPr>
        <w:t xml:space="preserve">3. </w:t>
      </w:r>
      <w:r>
        <w:t xml:space="preserve">Staging boots durably (C2) and survives the restart test. The production entry point refuses any in-memory fallback.</w:t>
      </w:r>
    </w:p>
    <w:p>
      <w:pPr>
        <w:pStyle w:val="ListParagraph"/>
        <w:numPr>
          <w:ilvl w:val="0"/>
          <w:numId w:val="2"/>
        </w:numPr>
        <w:spacing w:after="80" w:line="276"/>
      </w:pPr>
      <w:r>
        <w:rPr>
          <w:b/>
          <w:bCs/>
        </w:rPr>
        <w:t xml:space="preserve">4. </w:t>
      </w:r>
      <w:r>
        <w:t xml:space="preserve">A3 to A8 in place; every secret in KMS or the secrets manager.</w:t>
      </w:r>
    </w:p>
    <w:p>
      <w:pPr>
        <w:pStyle w:val="ListParagraph"/>
        <w:numPr>
          <w:ilvl w:val="0"/>
          <w:numId w:val="2"/>
        </w:numPr>
        <w:spacing w:after="80" w:line="276"/>
      </w:pPr>
      <w:r>
        <w:rPr>
          <w:b/>
          <w:bCs/>
        </w:rPr>
        <w:t xml:space="preserve">5. </w:t>
      </w:r>
      <w:r>
        <w:t xml:space="preserve">MFA enrolled by every member of staff with console access.</w:t>
      </w:r>
    </w:p>
    <w:p>
      <w:pPr>
        <w:pStyle w:val="ListParagraph"/>
        <w:numPr>
          <w:ilvl w:val="0"/>
          <w:numId w:val="2"/>
        </w:numPr>
        <w:spacing w:after="80" w:line="276"/>
      </w:pPr>
      <w:r>
        <w:rPr>
          <w:b/>
          <w:bCs/>
        </w:rPr>
        <w:t xml:space="preserve">6. </w:t>
      </w:r>
      <w:r>
        <w:t xml:space="preserve">B1 model DPA signed; B2 sandbox tests passing for the pilots’ CRMs; B3 email live and password reset tested end to end.</w:t>
      </w:r>
    </w:p>
    <w:p>
      <w:pPr>
        <w:pStyle w:val="ListParagraph"/>
        <w:numPr>
          <w:ilvl w:val="0"/>
          <w:numId w:val="2"/>
        </w:numPr>
        <w:spacing w:after="80" w:line="276"/>
      </w:pPr>
      <w:r>
        <w:rPr>
          <w:b/>
          <w:bCs/>
        </w:rPr>
        <w:t xml:space="preserve">7. </w:t>
      </w:r>
      <w:r>
        <w:t xml:space="preserve">C3 load test and C7 restore drill recorded.</w:t>
      </w:r>
    </w:p>
    <w:p>
      <w:pPr>
        <w:pStyle w:val="ListParagraph"/>
        <w:numPr>
          <w:ilvl w:val="0"/>
          <w:numId w:val="2"/>
        </w:numPr>
        <w:spacing w:after="80" w:line="276"/>
      </w:pPr>
      <w:r>
        <w:rPr>
          <w:b/>
          <w:bCs/>
        </w:rPr>
        <w:t xml:space="preserve">8. </w:t>
      </w:r>
      <w:r>
        <w:t xml:space="preserve">E1 to E5 signed. E9 copy corrected.</w:t>
      </w:r>
    </w:p>
    <w:p>
      <w:pPr>
        <w:pStyle w:val="ListParagraph"/>
        <w:numPr>
          <w:ilvl w:val="0"/>
          <w:numId w:val="2"/>
        </w:numPr>
        <w:spacing w:after="80" w:line="276"/>
      </w:pPr>
      <w:r>
        <w:rPr>
          <w:b/>
          <w:bCs/>
        </w:rPr>
        <w:t xml:space="preserve">9. </w:t>
      </w:r>
      <w:r>
        <w:t xml:space="preserve">D1, D2 and D4 live.</w:t>
      </w:r>
    </w:p>
    <w:p>
      <w:pPr>
        <w:pStyle w:val="Heading2"/>
        <w:spacing w:after="120" w:before="260"/>
      </w:pPr>
      <w:r>
        <w:t xml:space="preserve">GA gate adds</w:t>
      </w:r>
    </w:p>
    <w:p>
      <w:pPr>
        <w:pStyle w:val="ListParagraph"/>
        <w:numPr>
          <w:ilvl w:val="0"/>
          <w:numId w:val="2"/>
        </w:numPr>
        <w:spacing w:after="80" w:line="276"/>
      </w:pPr>
      <w:r>
        <w:rPr>
          <w:b/>
          <w:bCs/>
        </w:rPr>
        <w:t xml:space="preserve">10. </w:t>
      </w:r>
      <w:r>
        <w:t xml:space="preserve">C4 pen test, highs retested and closed, report available under NDA.</w:t>
      </w:r>
    </w:p>
    <w:p>
      <w:pPr>
        <w:pStyle w:val="ListParagraph"/>
        <w:numPr>
          <w:ilvl w:val="0"/>
          <w:numId w:val="2"/>
        </w:numPr>
        <w:spacing w:after="80" w:line="276"/>
      </w:pPr>
      <w:r>
        <w:rPr>
          <w:b/>
          <w:bCs/>
        </w:rPr>
        <w:t xml:space="preserve">11. </w:t>
      </w:r>
      <w:r>
        <w:t xml:space="preserve">C5 accessibility audit passed and the statement published.</w:t>
      </w:r>
    </w:p>
    <w:p>
      <w:pPr>
        <w:pStyle w:val="ListParagraph"/>
        <w:numPr>
          <w:ilvl w:val="0"/>
          <w:numId w:val="2"/>
        </w:numPr>
        <w:spacing w:after="80" w:line="276"/>
      </w:pPr>
      <w:r>
        <w:rPr>
          <w:b/>
          <w:bCs/>
        </w:rPr>
        <w:t xml:space="preserve">12. </w:t>
      </w:r>
      <w:r>
        <w:t xml:space="preserve">Two pilots meeting their success criteria for 60 days with zero isolation or evidence incidents.</w:t>
      </w:r>
    </w:p>
    <w:p>
      <w:pPr>
        <w:pStyle w:val="ListParagraph"/>
        <w:numPr>
          <w:ilvl w:val="0"/>
          <w:numId w:val="2"/>
        </w:numPr>
        <w:spacing w:after="80" w:line="276"/>
      </w:pPr>
      <w:r>
        <w:rPr>
          <w:b/>
          <w:bCs/>
        </w:rPr>
        <w:t xml:space="preserve">13. </w:t>
      </w:r>
      <w:r>
        <w:t xml:space="preserve">E6 insurance bound; E7 trust page live.</w:t>
      </w:r>
    </w:p>
    <w:p>
      <w:pPr>
        <w:pStyle w:val="Heading1"/>
        <w:spacing w:after="160" w:before="320"/>
      </w:pPr>
      <w:r>
        <w:t xml:space="preserve">10. Open risks</w:t>
      </w:r>
    </w:p>
    <w:tbl>
      <w:tblPr>
        <w:tblW w:type="dxa" w:w="9026"/>
        <w:tblBorders>
          <w:top w:val="single" w:color="E3E8EF" w:sz="2"/>
          <w:left w:val="none"/>
          <w:bottom w:val="single" w:color="E3E8EF" w:sz="2"/>
          <w:right w:val="none"/>
          <w:insideH w:val="single" w:color="E3E8EF" w:sz="2"/>
          <w:insideV w:val="none"/>
        </w:tblBorders>
      </w:tblPr>
      <w:tblGrid>
        <w:gridCol w:w="600"/>
        <w:gridCol w:w="3400"/>
        <w:gridCol w:w="2500"/>
        <w:gridCol w:w="2526"/>
      </w:tblGrid>
      <w:tr>
        <w:trPr>
          <w:tblHeader/>
        </w:trPr>
        <w:tc>
          <w:tcPr>
            <w:tcW w:type="dxa" w:w="600"/>
            <w:shd w:fill="F1F4F8" w:color="auto" w:val="clear"/>
            <w:tcMar>
              <w:top w:type="dxa" w:w="90"/>
              <w:left w:type="dxa" w:w="120"/>
              <w:bottom w:type="dxa" w:w="90"/>
              <w:right w:type="dxa" w:w="120"/>
            </w:tcMar>
          </w:tcPr>
          <w:p>
            <w:pPr>
              <w:spacing w:after="0" w:line="252"/>
            </w:pPr>
            <w:r>
              <w:rPr>
                <w:b/>
                <w:bCs/>
                <w:sz w:val="19"/>
                <w:szCs w:val="19"/>
              </w:rPr>
              <w:t xml:space="preserve">#</w:t>
            </w:r>
          </w:p>
        </w:tc>
        <w:tc>
          <w:tcPr>
            <w:tcW w:type="dxa" w:w="3400"/>
            <w:shd w:fill="F1F4F8" w:color="auto" w:val="clear"/>
            <w:tcMar>
              <w:top w:type="dxa" w:w="90"/>
              <w:left w:type="dxa" w:w="120"/>
              <w:bottom w:type="dxa" w:w="90"/>
              <w:right w:type="dxa" w:w="120"/>
            </w:tcMar>
          </w:tcPr>
          <w:p>
            <w:pPr>
              <w:spacing w:after="0" w:line="252"/>
            </w:pPr>
            <w:r>
              <w:rPr>
                <w:b/>
                <w:bCs/>
                <w:sz w:val="19"/>
                <w:szCs w:val="19"/>
              </w:rPr>
              <w:t xml:space="preserve">Risk</w:t>
            </w:r>
          </w:p>
        </w:tc>
        <w:tc>
          <w:tcPr>
            <w:tcW w:type="dxa" w:w="2500"/>
            <w:shd w:fill="F1F4F8" w:color="auto" w:val="clear"/>
            <w:tcMar>
              <w:top w:type="dxa" w:w="90"/>
              <w:left w:type="dxa" w:w="120"/>
              <w:bottom w:type="dxa" w:w="90"/>
              <w:right w:type="dxa" w:w="120"/>
            </w:tcMar>
          </w:tcPr>
          <w:p>
            <w:pPr>
              <w:spacing w:after="0" w:line="252"/>
            </w:pPr>
            <w:r>
              <w:rPr>
                <w:b/>
                <w:bCs/>
                <w:sz w:val="19"/>
                <w:szCs w:val="19"/>
              </w:rPr>
              <w:t xml:space="preserve">Impact</w:t>
            </w:r>
          </w:p>
        </w:tc>
        <w:tc>
          <w:tcPr>
            <w:tcW w:type="dxa" w:w="2526"/>
            <w:shd w:fill="F1F4F8" w:color="auto" w:val="clear"/>
            <w:tcMar>
              <w:top w:type="dxa" w:w="90"/>
              <w:left w:type="dxa" w:w="120"/>
              <w:bottom w:type="dxa" w:w="90"/>
              <w:right w:type="dxa" w:w="120"/>
            </w:tcMar>
          </w:tcPr>
          <w:p>
            <w:pPr>
              <w:spacing w:after="0" w:line="252"/>
            </w:pPr>
            <w:r>
              <w:rPr>
                <w:b/>
                <w:bCs/>
                <w:sz w:val="19"/>
                <w:szCs w:val="19"/>
              </w:rPr>
              <w:t xml:space="preserve">Mitigation</w:t>
            </w:r>
          </w:p>
        </w:tc>
      </w:tr>
      <w:tr>
        <w:trPr>
          <w:tblHeader w:val="false"/>
        </w:trPr>
        <w:tc>
          <w:tcPr>
            <w:tcW w:type="dxa" w:w="600"/>
            <w:shd w:fill="FCF3EC" w:color="auto" w:val="clear"/>
            <w:tcMar>
              <w:top w:type="dxa" w:w="90"/>
              <w:left w:type="dxa" w:w="120"/>
              <w:bottom w:type="dxa" w:w="90"/>
              <w:right w:type="dxa" w:w="120"/>
            </w:tcMar>
          </w:tcPr>
          <w:p>
            <w:pPr>
              <w:spacing w:after="0" w:line="252"/>
            </w:pPr>
            <w:r>
              <w:rPr>
                <w:b w:val="false"/>
                <w:bCs w:val="false"/>
                <w:sz w:val="19"/>
                <w:szCs w:val="19"/>
              </w:rPr>
              <w:t xml:space="preserve">R1</w:t>
            </w:r>
          </w:p>
        </w:tc>
        <w:tc>
          <w:tcPr>
            <w:tcW w:type="dxa" w:w="3400"/>
            <w:shd w:fill="FCF3EC" w:color="auto" w:val="clear"/>
            <w:tcMar>
              <w:top w:type="dxa" w:w="90"/>
              <w:left w:type="dxa" w:w="120"/>
              <w:bottom w:type="dxa" w:w="90"/>
              <w:right w:type="dxa" w:w="120"/>
            </w:tcMar>
          </w:tcPr>
          <w:p>
            <w:pPr>
              <w:spacing w:after="0" w:line="252"/>
            </w:pPr>
            <w:r>
              <w:rPr>
                <w:b w:val="false"/>
                <w:bCs w:val="false"/>
                <w:sz w:val="19"/>
                <w:szCs w:val="19"/>
              </w:rPr>
              <w:t xml:space="preserve">API keys do not survive a restart</w:t>
            </w:r>
          </w:p>
        </w:tc>
        <w:tc>
          <w:tcPr>
            <w:tcW w:type="dxa" w:w="2500"/>
            <w:shd w:fill="FCF3EC" w:color="auto" w:val="clear"/>
            <w:tcMar>
              <w:top w:type="dxa" w:w="90"/>
              <w:left w:type="dxa" w:w="120"/>
              <w:bottom w:type="dxa" w:w="90"/>
              <w:right w:type="dxa" w:w="120"/>
            </w:tcMar>
          </w:tcPr>
          <w:p>
            <w:pPr>
              <w:spacing w:after="0" w:line="252"/>
            </w:pPr>
            <w:r>
              <w:rPr>
                <w:b w:val="false"/>
                <w:bCs w:val="false"/>
                <w:sz w:val="19"/>
                <w:szCs w:val="19"/>
              </w:rPr>
              <w:t xml:space="preserve">Every embedded widget stops working on every deploy. The customer notices first</w:t>
            </w:r>
          </w:p>
        </w:tc>
        <w:tc>
          <w:tcPr>
            <w:tcW w:type="dxa" w:w="2526"/>
            <w:shd w:fill="FCF3EC" w:color="auto" w:val="clear"/>
            <w:tcMar>
              <w:top w:type="dxa" w:w="90"/>
              <w:left w:type="dxa" w:w="120"/>
              <w:bottom w:type="dxa" w:w="90"/>
              <w:right w:type="dxa" w:w="120"/>
            </w:tcMar>
          </w:tcPr>
          <w:p>
            <w:pPr>
              <w:spacing w:after="0" w:line="252"/>
            </w:pPr>
            <w:r>
              <w:rPr>
                <w:b w:val="false"/>
                <w:bCs w:val="false"/>
                <w:sz w:val="19"/>
                <w:szCs w:val="19"/>
              </w:rPr>
              <w:t xml:space="preserve">E1, before any pilot</w:t>
            </w:r>
          </w:p>
        </w:tc>
      </w:tr>
      <w:tr>
        <w:trPr>
          <w:tblHeader w:val="false"/>
        </w:trPr>
        <w:tc>
          <w:tcPr>
            <w:tcW w:type="dxa" w:w="600"/>
            <w:tcMar>
              <w:top w:type="dxa" w:w="90"/>
              <w:left w:type="dxa" w:w="120"/>
              <w:bottom w:type="dxa" w:w="90"/>
              <w:right w:type="dxa" w:w="120"/>
            </w:tcMar>
          </w:tcPr>
          <w:p>
            <w:pPr>
              <w:spacing w:after="0" w:line="252"/>
            </w:pPr>
            <w:r>
              <w:rPr>
                <w:b w:val="false"/>
                <w:bCs w:val="false"/>
                <w:sz w:val="19"/>
                <w:szCs w:val="19"/>
              </w:rPr>
              <w:t xml:space="preserve">R2</w:t>
            </w:r>
          </w:p>
        </w:tc>
        <w:tc>
          <w:tcPr>
            <w:tcW w:type="dxa" w:w="3400"/>
            <w:tcMar>
              <w:top w:type="dxa" w:w="90"/>
              <w:left w:type="dxa" w:w="120"/>
              <w:bottom w:type="dxa" w:w="90"/>
              <w:right w:type="dxa" w:w="120"/>
            </w:tcMar>
          </w:tcPr>
          <w:p>
            <w:pPr>
              <w:spacing w:after="0" w:line="252"/>
            </w:pPr>
            <w:r>
              <w:rPr>
                <w:b w:val="false"/>
                <w:bCs w:val="false"/>
                <w:sz w:val="19"/>
                <w:szCs w:val="19"/>
              </w:rPr>
              <w:t xml:space="preserve">The five platform tables permit unbound access, because sign-in looks a user up by email before a tenant is known</w:t>
            </w:r>
          </w:p>
        </w:tc>
        <w:tc>
          <w:tcPr>
            <w:tcW w:type="dxa" w:w="2500"/>
            <w:tcMar>
              <w:top w:type="dxa" w:w="90"/>
              <w:left w:type="dxa" w:w="120"/>
              <w:bottom w:type="dxa" w:w="90"/>
              <w:right w:type="dxa" w:w="120"/>
            </w:tcMar>
          </w:tcPr>
          <w:p>
            <w:pPr>
              <w:spacing w:after="0" w:line="252"/>
            </w:pPr>
            <w:r>
              <w:rPr>
                <w:b w:val="false"/>
                <w:bCs w:val="false"/>
                <w:sz w:val="19"/>
                <w:szCs w:val="19"/>
              </w:rPr>
              <w:t xml:space="preserve">A forgotten filter in auth or billing code could cross tenants. Every tenant-bound path is already confined</w:t>
            </w:r>
          </w:p>
        </w:tc>
        <w:tc>
          <w:tcPr>
            <w:tcW w:type="dxa" w:w="2526"/>
            <w:tcMar>
              <w:top w:type="dxa" w:w="90"/>
              <w:left w:type="dxa" w:w="120"/>
              <w:bottom w:type="dxa" w:w="90"/>
              <w:right w:type="dxa" w:w="120"/>
            </w:tcMar>
          </w:tcPr>
          <w:p>
            <w:pPr>
              <w:spacing w:after="0" w:line="252"/>
            </w:pPr>
            <w:r>
              <w:rPr>
                <w:b w:val="false"/>
                <w:bCs w:val="false"/>
                <w:sz w:val="19"/>
                <w:szCs w:val="19"/>
              </w:rPr>
              <w:t xml:space="preserve">E4</w:t>
            </w:r>
          </w:p>
        </w:tc>
      </w:tr>
      <w:tr>
        <w:trPr>
          <w:tblHeader w:val="false"/>
        </w:trPr>
        <w:tc>
          <w:tcPr>
            <w:tcW w:type="dxa" w:w="600"/>
            <w:tcMar>
              <w:top w:type="dxa" w:w="90"/>
              <w:left w:type="dxa" w:w="120"/>
              <w:bottom w:type="dxa" w:w="90"/>
              <w:right w:type="dxa" w:w="120"/>
            </w:tcMar>
          </w:tcPr>
          <w:p>
            <w:pPr>
              <w:spacing w:after="0" w:line="252"/>
            </w:pPr>
            <w:r>
              <w:rPr>
                <w:b w:val="false"/>
                <w:bCs w:val="false"/>
                <w:sz w:val="19"/>
                <w:szCs w:val="19"/>
              </w:rPr>
              <w:t xml:space="preserve">R3</w:t>
            </w:r>
          </w:p>
        </w:tc>
        <w:tc>
          <w:tcPr>
            <w:tcW w:type="dxa" w:w="3400"/>
            <w:tcMar>
              <w:top w:type="dxa" w:w="90"/>
              <w:left w:type="dxa" w:w="120"/>
              <w:bottom w:type="dxa" w:w="90"/>
              <w:right w:type="dxa" w:w="120"/>
            </w:tcMar>
          </w:tcPr>
          <w:p>
            <w:pPr>
              <w:spacing w:after="0" w:line="252"/>
            </w:pPr>
            <w:r>
              <w:rPr>
                <w:b w:val="false"/>
                <w:bCs w:val="false"/>
                <w:sz w:val="19"/>
                <w:szCs w:val="19"/>
              </w:rPr>
              <w:t xml:space="preserve">No console user management screen</w:t>
            </w:r>
          </w:p>
        </w:tc>
        <w:tc>
          <w:tcPr>
            <w:tcW w:type="dxa" w:w="2500"/>
            <w:tcMar>
              <w:top w:type="dxa" w:w="90"/>
              <w:left w:type="dxa" w:w="120"/>
              <w:bottom w:type="dxa" w:w="90"/>
              <w:right w:type="dxa" w:w="120"/>
            </w:tcMar>
          </w:tcPr>
          <w:p>
            <w:pPr>
              <w:spacing w:after="0" w:line="252"/>
            </w:pPr>
            <w:r>
              <w:rPr>
                <w:b w:val="false"/>
                <w:bCs w:val="false"/>
                <w:sz w:val="19"/>
                <w:szCs w:val="19"/>
              </w:rPr>
              <w:t xml:space="preserve">One account holds both admin and owner, so separation of duty exists in the model and not in practice</w:t>
            </w:r>
          </w:p>
        </w:tc>
        <w:tc>
          <w:tcPr>
            <w:tcW w:type="dxa" w:w="2526"/>
            <w:tcMar>
              <w:top w:type="dxa" w:w="90"/>
              <w:left w:type="dxa" w:w="120"/>
              <w:bottom w:type="dxa" w:w="90"/>
              <w:right w:type="dxa" w:w="120"/>
            </w:tcMar>
          </w:tcPr>
          <w:p>
            <w:pPr>
              <w:spacing w:after="0" w:line="252"/>
            </w:pPr>
            <w:r>
              <w:rPr>
                <w:b w:val="false"/>
                <w:bCs w:val="false"/>
                <w:sz w:val="19"/>
                <w:szCs w:val="19"/>
              </w:rPr>
              <w:t xml:space="preserve">E2</w:t>
            </w:r>
          </w:p>
        </w:tc>
      </w:tr>
      <w:tr>
        <w:trPr>
          <w:tblHeader w:val="false"/>
        </w:trPr>
        <w:tc>
          <w:tcPr>
            <w:tcW w:type="dxa" w:w="600"/>
            <w:tcMar>
              <w:top w:type="dxa" w:w="90"/>
              <w:left w:type="dxa" w:w="120"/>
              <w:bottom w:type="dxa" w:w="90"/>
              <w:right w:type="dxa" w:w="120"/>
            </w:tcMar>
          </w:tcPr>
          <w:p>
            <w:pPr>
              <w:spacing w:after="0" w:line="252"/>
            </w:pPr>
            <w:r>
              <w:rPr>
                <w:b w:val="false"/>
                <w:bCs w:val="false"/>
                <w:sz w:val="19"/>
                <w:szCs w:val="19"/>
              </w:rPr>
              <w:t xml:space="preserve">R4</w:t>
            </w:r>
          </w:p>
        </w:tc>
        <w:tc>
          <w:tcPr>
            <w:tcW w:type="dxa" w:w="3400"/>
            <w:tcMar>
              <w:top w:type="dxa" w:w="90"/>
              <w:left w:type="dxa" w:w="120"/>
              <w:bottom w:type="dxa" w:w="90"/>
              <w:right w:type="dxa" w:w="120"/>
            </w:tcMar>
          </w:tcPr>
          <w:p>
            <w:pPr>
              <w:spacing w:after="0" w:line="252"/>
            </w:pPr>
            <w:r>
              <w:rPr>
                <w:b w:val="false"/>
                <w:bCs w:val="false"/>
                <w:sz w:val="19"/>
                <w:szCs w:val="19"/>
              </w:rPr>
              <w:t xml:space="preserve">SSO buttons dead-end</w:t>
            </w:r>
          </w:p>
        </w:tc>
        <w:tc>
          <w:tcPr>
            <w:tcW w:type="dxa" w:w="2500"/>
            <w:tcMar>
              <w:top w:type="dxa" w:w="90"/>
              <w:left w:type="dxa" w:w="120"/>
              <w:bottom w:type="dxa" w:w="90"/>
              <w:right w:type="dxa" w:w="120"/>
            </w:tcMar>
          </w:tcPr>
          <w:p>
            <w:pPr>
              <w:spacing w:after="0" w:line="252"/>
            </w:pPr>
            <w:r>
              <w:rPr>
                <w:b w:val="false"/>
                <w:bCs w:val="false"/>
                <w:sz w:val="19"/>
                <w:szCs w:val="19"/>
              </w:rPr>
              <w:t xml:space="preserve">Reads as broken to an enterprise buyer evaluating us</w:t>
            </w:r>
          </w:p>
        </w:tc>
        <w:tc>
          <w:tcPr>
            <w:tcW w:type="dxa" w:w="2526"/>
            <w:tcMar>
              <w:top w:type="dxa" w:w="90"/>
              <w:left w:type="dxa" w:w="120"/>
              <w:bottom w:type="dxa" w:w="90"/>
              <w:right w:type="dxa" w:w="120"/>
            </w:tcMar>
          </w:tcPr>
          <w:p>
            <w:pPr>
              <w:spacing w:after="0" w:line="252"/>
            </w:pPr>
            <w:r>
              <w:rPr>
                <w:b w:val="false"/>
                <w:bCs w:val="false"/>
                <w:sz w:val="19"/>
                <w:szCs w:val="19"/>
              </w:rPr>
              <w:t xml:space="preserve">E5</w:t>
            </w:r>
          </w:p>
        </w:tc>
      </w:tr>
      <w:tr>
        <w:trPr>
          <w:tblHeader w:val="false"/>
        </w:trPr>
        <w:tc>
          <w:tcPr>
            <w:tcW w:type="dxa" w:w="600"/>
            <w:tcMar>
              <w:top w:type="dxa" w:w="90"/>
              <w:left w:type="dxa" w:w="120"/>
              <w:bottom w:type="dxa" w:w="90"/>
              <w:right w:type="dxa" w:w="120"/>
            </w:tcMar>
          </w:tcPr>
          <w:p>
            <w:pPr>
              <w:spacing w:after="0" w:line="252"/>
            </w:pPr>
            <w:r>
              <w:rPr>
                <w:b w:val="false"/>
                <w:bCs w:val="false"/>
                <w:sz w:val="19"/>
                <w:szCs w:val="19"/>
              </w:rPr>
              <w:t xml:space="preserve">R5</w:t>
            </w:r>
          </w:p>
        </w:tc>
        <w:tc>
          <w:tcPr>
            <w:tcW w:type="dxa" w:w="3400"/>
            <w:tcMar>
              <w:top w:type="dxa" w:w="90"/>
              <w:left w:type="dxa" w:w="120"/>
              <w:bottom w:type="dxa" w:w="90"/>
              <w:right w:type="dxa" w:w="120"/>
            </w:tcMar>
          </w:tcPr>
          <w:p>
            <w:pPr>
              <w:spacing w:after="0" w:line="252"/>
            </w:pPr>
            <w:r>
              <w:rPr>
                <w:b w:val="false"/>
                <w:bCs w:val="false"/>
                <w:sz w:val="19"/>
                <w:szCs w:val="19"/>
              </w:rPr>
              <w:t xml:space="preserve">No penetration test and no accessibility audit</w:t>
            </w:r>
          </w:p>
        </w:tc>
        <w:tc>
          <w:tcPr>
            <w:tcW w:type="dxa" w:w="2500"/>
            <w:tcMar>
              <w:top w:type="dxa" w:w="90"/>
              <w:left w:type="dxa" w:w="120"/>
              <w:bottom w:type="dxa" w:w="90"/>
              <w:right w:type="dxa" w:w="120"/>
            </w:tcMar>
          </w:tcPr>
          <w:p>
            <w:pPr>
              <w:spacing w:after="0" w:line="252"/>
            </w:pPr>
            <w:r>
              <w:rPr>
                <w:b w:val="false"/>
                <w:bCs w:val="false"/>
                <w:sz w:val="19"/>
                <w:szCs w:val="19"/>
              </w:rPr>
              <w:t xml:space="preserve">Both will be asked for in procurement, and the insurer will ask for C4</w:t>
            </w:r>
          </w:p>
        </w:tc>
        <w:tc>
          <w:tcPr>
            <w:tcW w:type="dxa" w:w="2526"/>
            <w:tcMar>
              <w:top w:type="dxa" w:w="90"/>
              <w:left w:type="dxa" w:w="120"/>
              <w:bottom w:type="dxa" w:w="90"/>
              <w:right w:type="dxa" w:w="120"/>
            </w:tcMar>
          </w:tcPr>
          <w:p>
            <w:pPr>
              <w:spacing w:after="0" w:line="252"/>
            </w:pPr>
            <w:r>
              <w:rPr>
                <w:b w:val="false"/>
                <w:bCs w:val="false"/>
                <w:sz w:val="19"/>
                <w:szCs w:val="19"/>
              </w:rPr>
              <w:t xml:space="preserve">C4 and C5. Book now; the lead time is the constraint</w:t>
            </w:r>
          </w:p>
        </w:tc>
      </w:tr>
      <w:tr>
        <w:trPr>
          <w:tblHeader w:val="false"/>
        </w:trPr>
        <w:tc>
          <w:tcPr>
            <w:tcW w:type="dxa" w:w="600"/>
            <w:tcMar>
              <w:top w:type="dxa" w:w="90"/>
              <w:left w:type="dxa" w:w="120"/>
              <w:bottom w:type="dxa" w:w="90"/>
              <w:right w:type="dxa" w:w="120"/>
            </w:tcMar>
          </w:tcPr>
          <w:p>
            <w:pPr>
              <w:spacing w:after="0" w:line="252"/>
            </w:pPr>
            <w:r>
              <w:rPr>
                <w:b w:val="false"/>
                <w:bCs w:val="false"/>
                <w:sz w:val="19"/>
                <w:szCs w:val="19"/>
              </w:rPr>
              <w:t xml:space="preserve">R6</w:t>
            </w:r>
          </w:p>
        </w:tc>
        <w:tc>
          <w:tcPr>
            <w:tcW w:type="dxa" w:w="3400"/>
            <w:tcMar>
              <w:top w:type="dxa" w:w="90"/>
              <w:left w:type="dxa" w:w="120"/>
              <w:bottom w:type="dxa" w:w="90"/>
              <w:right w:type="dxa" w:w="120"/>
            </w:tcMar>
          </w:tcPr>
          <w:p>
            <w:pPr>
              <w:spacing w:after="0" w:line="252"/>
            </w:pPr>
            <w:r>
              <w:rPr>
                <w:b w:val="false"/>
                <w:bCs w:val="false"/>
                <w:sz w:val="19"/>
                <w:szCs w:val="19"/>
              </w:rPr>
              <w:t xml:space="preserve">Credentials encrypted under a local key until KMS exists</w:t>
            </w:r>
          </w:p>
        </w:tc>
        <w:tc>
          <w:tcPr>
            <w:tcW w:type="dxa" w:w="2500"/>
            <w:tcMar>
              <w:top w:type="dxa" w:w="90"/>
              <w:left w:type="dxa" w:w="120"/>
              <w:bottom w:type="dxa" w:w="90"/>
              <w:right w:type="dxa" w:w="120"/>
            </w:tcMar>
          </w:tcPr>
          <w:p>
            <w:pPr>
              <w:spacing w:after="0" w:line="252"/>
            </w:pPr>
            <w:r>
              <w:rPr>
                <w:b w:val="false"/>
                <w:bCs w:val="false"/>
                <w:sz w:val="19"/>
                <w:szCs w:val="19"/>
              </w:rPr>
              <w:t xml:space="preserve">The root key must be handled as a secret and rotated by hand</w:t>
            </w:r>
          </w:p>
        </w:tc>
        <w:tc>
          <w:tcPr>
            <w:tcW w:type="dxa" w:w="2526"/>
            <w:tcMar>
              <w:top w:type="dxa" w:w="90"/>
              <w:left w:type="dxa" w:w="120"/>
              <w:bottom w:type="dxa" w:w="90"/>
              <w:right w:type="dxa" w:w="120"/>
            </w:tcMar>
          </w:tcPr>
          <w:p>
            <w:pPr>
              <w:spacing w:after="0" w:line="252"/>
            </w:pPr>
            <w:r>
              <w:rPr>
                <w:b w:val="false"/>
                <w:bCs w:val="false"/>
                <w:sz w:val="19"/>
                <w:szCs w:val="19"/>
              </w:rPr>
              <w:t xml:space="preserve">E3, after A1</w:t>
            </w:r>
          </w:p>
        </w:tc>
      </w:tr>
      <w:tr>
        <w:trPr>
          <w:tblHeader w:val="false"/>
        </w:trPr>
        <w:tc>
          <w:tcPr>
            <w:tcW w:type="dxa" w:w="600"/>
            <w:tcMar>
              <w:top w:type="dxa" w:w="90"/>
              <w:left w:type="dxa" w:w="120"/>
              <w:bottom w:type="dxa" w:w="90"/>
              <w:right w:type="dxa" w:w="120"/>
            </w:tcMar>
          </w:tcPr>
          <w:p>
            <w:pPr>
              <w:spacing w:after="0" w:line="252"/>
            </w:pPr>
            <w:r>
              <w:rPr>
                <w:b w:val="false"/>
                <w:bCs w:val="false"/>
                <w:sz w:val="19"/>
                <w:szCs w:val="19"/>
              </w:rPr>
              <w:t xml:space="preserve">R7</w:t>
            </w:r>
          </w:p>
        </w:tc>
        <w:tc>
          <w:tcPr>
            <w:tcW w:type="dxa" w:w="3400"/>
            <w:tcMar>
              <w:top w:type="dxa" w:w="90"/>
              <w:left w:type="dxa" w:w="120"/>
              <w:bottom w:type="dxa" w:w="90"/>
              <w:right w:type="dxa" w:w="120"/>
            </w:tcMar>
          </w:tcPr>
          <w:p>
            <w:pPr>
              <w:spacing w:after="0" w:line="252"/>
            </w:pPr>
            <w:r>
              <w:rPr>
                <w:b w:val="false"/>
                <w:bCs w:val="false"/>
                <w:sz w:val="19"/>
                <w:szCs w:val="19"/>
              </w:rPr>
              <w:t xml:space="preserve">One staff account, and its password is an environment variable</w:t>
            </w:r>
          </w:p>
        </w:tc>
        <w:tc>
          <w:tcPr>
            <w:tcW w:type="dxa" w:w="2500"/>
            <w:tcMar>
              <w:top w:type="dxa" w:w="90"/>
              <w:left w:type="dxa" w:w="120"/>
              <w:bottom w:type="dxa" w:w="90"/>
              <w:right w:type="dxa" w:w="120"/>
            </w:tcMar>
          </w:tcPr>
          <w:p>
            <w:pPr>
              <w:spacing w:after="0" w:line="252"/>
            </w:pPr>
            <w:r>
              <w:rPr>
                <w:b w:val="false"/>
                <w:bCs w:val="false"/>
                <w:sz w:val="19"/>
                <w:szCs w:val="19"/>
              </w:rPr>
              <w:t xml:space="preserve">Anyone who can read the deployment configuration can sign in as the operator</w:t>
            </w:r>
          </w:p>
        </w:tc>
        <w:tc>
          <w:tcPr>
            <w:tcW w:type="dxa" w:w="2526"/>
            <w:tcMar>
              <w:top w:type="dxa" w:w="90"/>
              <w:left w:type="dxa" w:w="120"/>
              <w:bottom w:type="dxa" w:w="90"/>
              <w:right w:type="dxa" w:w="120"/>
            </w:tcMar>
          </w:tcPr>
          <w:p>
            <w:pPr>
              <w:spacing w:after="0" w:line="252"/>
            </w:pPr>
            <w:r>
              <w:rPr>
                <w:b w:val="false"/>
                <w:bCs w:val="false"/>
                <w:sz w:val="19"/>
                <w:szCs w:val="19"/>
              </w:rPr>
              <w:t xml:space="preserve">E2, then per-person accounts and MFA for each</w:t>
            </w:r>
          </w:p>
        </w:tc>
      </w:tr>
    </w:tbl>
    <w:p>
      <w:pPr>
        <w:pStyle w:val="Heading1"/>
        <w:spacing w:after="160" w:before="320"/>
      </w:pPr>
      <w:r>
        <w:t xml:space="preserve">11. The first two weeks</w:t>
      </w:r>
    </w:p>
    <w:tbl>
      <w:tblPr>
        <w:tblW w:type="dxa" w:w="9026"/>
        <w:tblBorders>
          <w:top w:val="single" w:color="E3E8EF" w:sz="2"/>
          <w:left w:val="none"/>
          <w:bottom w:val="single" w:color="E3E8EF" w:sz="2"/>
          <w:right w:val="none"/>
          <w:insideH w:val="single" w:color="E3E8EF" w:sz="2"/>
          <w:insideV w:val="none"/>
        </w:tblBorders>
      </w:tblPr>
      <w:tblGrid>
        <w:gridCol w:w="1700"/>
        <w:gridCol w:w="3663"/>
        <w:gridCol w:w="3663"/>
      </w:tblGrid>
      <w:tr>
        <w:trPr>
          <w:tblHeader/>
        </w:trPr>
        <w:tc>
          <w:tcPr>
            <w:tcW w:type="dxa" w:w="1700"/>
            <w:shd w:fill="F1F4F8" w:color="auto" w:val="clear"/>
            <w:tcMar>
              <w:top w:type="dxa" w:w="90"/>
              <w:left w:type="dxa" w:w="120"/>
              <w:bottom w:type="dxa" w:w="90"/>
              <w:right w:type="dxa" w:w="120"/>
            </w:tcMar>
          </w:tcPr>
          <w:p>
            <w:pPr>
              <w:spacing w:after="0" w:line="252"/>
            </w:pPr>
            <w:r>
              <w:rPr>
                <w:b/>
                <w:bCs/>
                <w:sz w:val="19"/>
                <w:szCs w:val="19"/>
              </w:rPr>
              <w:t xml:space="preserve">When</w:t>
            </w:r>
          </w:p>
        </w:tc>
        <w:tc>
          <w:tcPr>
            <w:tcW w:type="dxa" w:w="3663"/>
            <w:shd w:fill="F1F4F8" w:color="auto" w:val="clear"/>
            <w:tcMar>
              <w:top w:type="dxa" w:w="90"/>
              <w:left w:type="dxa" w:w="120"/>
              <w:bottom w:type="dxa" w:w="90"/>
              <w:right w:type="dxa" w:w="120"/>
            </w:tcMar>
          </w:tcPr>
          <w:p>
            <w:pPr>
              <w:spacing w:after="0" w:line="252"/>
            </w:pPr>
            <w:r>
              <w:rPr>
                <w:b/>
                <w:bCs/>
                <w:sz w:val="19"/>
                <w:szCs w:val="19"/>
              </w:rPr>
              <w:t xml:space="preserve">Tom</w:t>
            </w:r>
          </w:p>
        </w:tc>
        <w:tc>
          <w:tcPr>
            <w:tcW w:type="dxa" w:w="3663"/>
            <w:shd w:fill="F1F4F8" w:color="auto" w:val="clear"/>
            <w:tcMar>
              <w:top w:type="dxa" w:w="90"/>
              <w:left w:type="dxa" w:w="120"/>
              <w:bottom w:type="dxa" w:w="90"/>
              <w:right w:type="dxa" w:w="120"/>
            </w:tcMar>
          </w:tcPr>
          <w:p>
            <w:pPr>
              <w:spacing w:after="0" w:line="252"/>
            </w:pPr>
            <w:r>
              <w:rPr>
                <w:b/>
                <w:bCs/>
                <w:sz w:val="19"/>
                <w:szCs w:val="19"/>
              </w:rPr>
              <w:t xml:space="preserve">Tony</w:t>
            </w:r>
          </w:p>
        </w:tc>
      </w:tr>
      <w:tr>
        <w:trPr>
          <w:tblHeader w:val="false"/>
        </w:trPr>
        <w:tc>
          <w:tcPr>
            <w:tcW w:type="dxa" w:w="1700"/>
            <w:tcMar>
              <w:top w:type="dxa" w:w="90"/>
              <w:left w:type="dxa" w:w="120"/>
              <w:bottom w:type="dxa" w:w="90"/>
              <w:right w:type="dxa" w:w="120"/>
            </w:tcMar>
          </w:tcPr>
          <w:p>
            <w:pPr>
              <w:spacing w:after="0" w:line="252"/>
            </w:pPr>
            <w:r>
              <w:rPr>
                <w:b w:val="false"/>
                <w:bCs w:val="false"/>
                <w:sz w:val="19"/>
                <w:szCs w:val="19"/>
              </w:rPr>
              <w:t xml:space="preserve">Day 1 to 2</w:t>
            </w:r>
          </w:p>
        </w:tc>
        <w:tc>
          <w:tcPr>
            <w:tcW w:type="dxa" w:w="3663"/>
            <w:tcMar>
              <w:top w:type="dxa" w:w="90"/>
              <w:left w:type="dxa" w:w="120"/>
              <w:bottom w:type="dxa" w:w="90"/>
              <w:right w:type="dxa" w:w="120"/>
            </w:tcMar>
          </w:tcPr>
          <w:p>
            <w:pPr>
              <w:spacing w:after="0" w:line="252"/>
            </w:pPr>
            <w:r>
              <w:rPr>
                <w:b w:val="false"/>
                <w:bCs w:val="false"/>
                <w:sz w:val="19"/>
                <w:szCs w:val="19"/>
              </w:rPr>
              <w:t xml:space="preserve">Joint: A1 cloud and region. F1 scope freeze. F2 confirm the Answers tier pricing. Hand E1 and E2 to engineering.</w:t>
            </w:r>
          </w:p>
        </w:tc>
        <w:tc>
          <w:tcPr>
            <w:tcW w:type="dxa" w:w="3663"/>
            <w:tcMar>
              <w:top w:type="dxa" w:w="90"/>
              <w:left w:type="dxa" w:w="120"/>
              <w:bottom w:type="dxa" w:w="90"/>
              <w:right w:type="dxa" w:w="120"/>
            </w:tcMar>
          </w:tcPr>
          <w:p>
            <w:pPr>
              <w:spacing w:after="0" w:line="252"/>
            </w:pPr>
            <w:r>
              <w:rPr>
                <w:b w:val="false"/>
                <w:bCs w:val="false"/>
                <w:sz w:val="19"/>
                <w:szCs w:val="19"/>
              </w:rPr>
              <w:t xml:space="preserve">As left.</w:t>
            </w:r>
          </w:p>
        </w:tc>
      </w:tr>
      <w:tr>
        <w:trPr>
          <w:tblHeader w:val="false"/>
        </w:trPr>
        <w:tc>
          <w:tcPr>
            <w:tcW w:type="dxa" w:w="1700"/>
            <w:tcMar>
              <w:top w:type="dxa" w:w="90"/>
              <w:left w:type="dxa" w:w="120"/>
              <w:bottom w:type="dxa" w:w="90"/>
              <w:right w:type="dxa" w:w="120"/>
            </w:tcMar>
          </w:tcPr>
          <w:p>
            <w:pPr>
              <w:spacing w:after="0" w:line="252"/>
            </w:pPr>
            <w:r>
              <w:rPr>
                <w:b w:val="false"/>
                <w:bCs w:val="false"/>
                <w:sz w:val="19"/>
                <w:szCs w:val="19"/>
              </w:rPr>
              <w:t xml:space="preserve">Week 1</w:t>
            </w:r>
          </w:p>
        </w:tc>
        <w:tc>
          <w:tcPr>
            <w:tcW w:type="dxa" w:w="3663"/>
            <w:tcMar>
              <w:top w:type="dxa" w:w="90"/>
              <w:left w:type="dxa" w:w="120"/>
              <w:bottom w:type="dxa" w:w="90"/>
              <w:right w:type="dxa" w:w="120"/>
            </w:tcMar>
          </w:tcPr>
          <w:p>
            <w:pPr>
              <w:spacing w:after="0" w:line="252"/>
            </w:pPr>
            <w:r>
              <w:rPr>
                <w:b w:val="false"/>
                <w:bCs w:val="false"/>
                <w:sz w:val="19"/>
                <w:szCs w:val="19"/>
              </w:rPr>
              <w:t xml:space="preserve">A2, A5, A7, A9. Open the D1 account. Make the four CI jobs required on the protected branch.</w:t>
            </w:r>
          </w:p>
        </w:tc>
        <w:tc>
          <w:tcPr>
            <w:tcW w:type="dxa" w:w="3663"/>
            <w:tcMar>
              <w:top w:type="dxa" w:w="90"/>
              <w:left w:type="dxa" w:w="120"/>
              <w:bottom w:type="dxa" w:w="90"/>
              <w:right w:type="dxa" w:w="120"/>
            </w:tcMar>
          </w:tcPr>
          <w:p>
            <w:pPr>
              <w:spacing w:after="0" w:line="252"/>
            </w:pPr>
            <w:r>
              <w:rPr>
                <w:b w:val="false"/>
                <w:bCs w:val="false"/>
                <w:sz w:val="19"/>
                <w:szCs w:val="19"/>
              </w:rPr>
              <w:t xml:space="preserve">B1 account and DPA request. B2 registrations, Salesforce and Microsoft first because they are the longest. B3 email provider, because reset is the only way back into an account. B4 Stripe KYC. Book C4 for about six weeks out. Brief legal on E1 to E5.</w:t>
            </w:r>
          </w:p>
        </w:tc>
      </w:tr>
      <w:tr>
        <w:trPr>
          <w:tblHeader w:val="false"/>
        </w:trPr>
        <w:tc>
          <w:tcPr>
            <w:tcW w:type="dxa" w:w="1700"/>
            <w:tcMar>
              <w:top w:type="dxa" w:w="90"/>
              <w:left w:type="dxa" w:w="120"/>
              <w:bottom w:type="dxa" w:w="90"/>
              <w:right w:type="dxa" w:w="120"/>
            </w:tcMar>
          </w:tcPr>
          <w:p>
            <w:pPr>
              <w:spacing w:after="0" w:line="252"/>
            </w:pPr>
            <w:r>
              <w:rPr>
                <w:b w:val="false"/>
                <w:bCs w:val="false"/>
                <w:sz w:val="19"/>
                <w:szCs w:val="19"/>
              </w:rPr>
              <w:t xml:space="preserve">Week 2</w:t>
            </w:r>
          </w:p>
        </w:tc>
        <w:tc>
          <w:tcPr>
            <w:tcW w:type="dxa" w:w="3663"/>
            <w:tcMar>
              <w:top w:type="dxa" w:w="90"/>
              <w:left w:type="dxa" w:w="120"/>
              <w:bottom w:type="dxa" w:w="90"/>
              <w:right w:type="dxa" w:w="120"/>
            </w:tcMar>
          </w:tcPr>
          <w:p>
            <w:pPr>
              <w:spacing w:after="0" w:line="252"/>
            </w:pPr>
            <w:r>
              <w:rPr>
                <w:b w:val="false"/>
                <w:bCs w:val="false"/>
                <w:sz w:val="19"/>
                <w:szCs w:val="19"/>
              </w:rPr>
              <w:t xml:space="preserve">A3, A4, A6, A8 skeleton. D4 status page. Run C7 once by hand.</w:t>
            </w:r>
          </w:p>
        </w:tc>
        <w:tc>
          <w:tcPr>
            <w:tcW w:type="dxa" w:w="3663"/>
            <w:tcMar>
              <w:top w:type="dxa" w:w="90"/>
              <w:left w:type="dxa" w:w="120"/>
              <w:bottom w:type="dxa" w:w="90"/>
              <w:right w:type="dxa" w:w="120"/>
            </w:tcMar>
          </w:tcPr>
          <w:p>
            <w:pPr>
              <w:spacing w:after="0" w:line="252"/>
            </w:pPr>
            <w:r>
              <w:rPr>
                <w:b w:val="false"/>
                <w:bCs w:val="false"/>
                <w:sz w:val="19"/>
                <w:szCs w:val="19"/>
              </w:rPr>
              <w:t xml:space="preserve">B5. Name the pilots (F3). Insurer quotes (E6).</w:t>
            </w:r>
          </w:p>
        </w:tc>
      </w:tr>
    </w:tbl>
    <w:p>
      <w:pPr>
        <w:pBdr>
          <w:bottom w:val="single" w:color="E3E8EF" w:sz="6"/>
        </w:pBdr>
        <w:spacing w:after="200" w:before="60"/>
      </w:pPr>
    </w:p>
    <w:p>
      <w:pPr>
        <w:spacing w:after="100" w:before="120"/>
      </w:pPr>
      <w:r>
        <w:rPr>
          <w:b/>
          <w:bCs/>
          <w:color w:val="B4531A"/>
          <w:sz w:val="24"/>
          <w:szCs w:val="24"/>
        </w:rPr>
        <w:t xml:space="preserve">The single highest-impact action this week: </w:t>
      </w:r>
      <w:r>
        <w:rPr>
          <w:b/>
          <w:bCs/>
          <w:sz w:val="24"/>
          <w:szCs w:val="24"/>
        </w:rPr>
        <w:t xml:space="preserve">persist the API keys (E1).</w:t>
      </w:r>
    </w:p>
    <w:p>
      <w:pPr>
        <w:spacing w:after="120" w:line="276"/>
      </w:pPr>
      <w:r>
        <w:t xml:space="preserve">It is roughly a session of work. Until it lands, every deployment silently breaks every embedded widget, which is the one failure a pilot customer sees before we 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E1B2A"/>
      <w:sz w:val="30"/>
      <w:szCs w:val="30"/>
    </w:rPr>
  </w:style>
  <w:style w:type="paragraph" w:styleId="Heading2">
    <w:name w:val="Heading 2"/>
    <w:basedOn w:val="Normal"/>
    <w:next w:val="Normal"/>
    <w:qFormat/>
    <w:rPr>
      <w:rFonts w:ascii="Calibri" w:cs="Calibri" w:eastAsia="Calibri" w:hAnsi="Calibri"/>
      <w:b/>
      <w:bCs/>
      <w:color w:val="0E1B2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Detent Engage, go-live briefing</dc:title>
  <dc:creator>Detent</dc:creator>
  <dc:description>Briefing and checklist for Tom and Tony</dc:description>
  <cp:lastModifiedBy>Un-named</cp:lastModifiedBy>
  <cp:revision>1</cp:revision>
  <dcterms:created xsi:type="dcterms:W3CDTF">2026-09-19T16:33:49.240Z</dcterms:created>
  <dcterms:modified xsi:type="dcterms:W3CDTF">2026-09-19T16:33:49.241Z</dcterms:modified>
</cp:coreProperties>
</file>

<file path=docProps/custom.xml><?xml version="1.0" encoding="utf-8"?>
<Properties xmlns="http://schemas.openxmlformats.org/officeDocument/2006/custom-properties" xmlns:vt="http://schemas.openxmlformats.org/officeDocument/2006/docPropsVTypes"/>
</file>