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transparency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Keith</w:t>
      </w:r>
      <w:r>
        <w:t xml:space="preserve"> </w:t>
      </w:r>
      <w:r>
        <w:t xml:space="preserve">P.</w:t>
      </w:r>
      <w:r>
        <w:t xml:space="preserve"> </w:t>
      </w:r>
      <w:r>
        <w:t xml:space="preserve">Lewis,</w:t>
      </w:r>
      <w:r>
        <w:t xml:space="preserve"> </w:t>
      </w:r>
      <w:r>
        <w:t xml:space="preserve">etc?</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FirstParagraph"/>
      </w:pPr>
      <w:r>
        <w:t xml:space="preserve">Quantitative stock assessment plays a central role in modern fisheries management. Over time and as new methods are developed, biologists have more and more data available to inform stock assessments. These data might be richer information on stock structure using an increasing array of markers and biomarkers, and/or the continued lengthening of population status and catch time series. Concurrently, analysis methods have improved, and techniques are now available that can integrate many data sources into one stock assessment model; state-space models being one popular class of such models. For well-monitored stocks, the challenge has shifted from having sufficient data and information to provide sound advice on the status of a stock, to presenting the mass of information produced by increasingly complex statistical models to end-users in a meaningful way. Traditional methods of presenting information at stakeholder meetings and to fisheries managers, like written reports full of tables, or with presentations with endless figures, are simply no longer sufficient to convey the richness of the information. More importantly, these static presentation formats tend to stifle meaningful discussion of model outputs, and important questions and assumptions of the models that should be discussed tend to get lost under the sheer volume of output. A solution to this problem of communicating complex output and results to encourage engaging discussion can be through using the effective use of interactive visualization tools. These are common tools we use every day on an endless array of web sites, but their use is no longer restricted to web site developers as these tools are being integrated into software commonly used by the research community.</w:t>
      </w:r>
    </w:p>
    <w:p>
      <w:pPr>
        <w:pStyle w:val="BodyText"/>
      </w:pPr>
      <w:r>
        <w:t xml:space="preserve">Here we aim to demonstrate how interactive visualization tools provide an efficient and effective means of exploring and communicating the ever expanding array of data inputs and model outputs. First, we focus on data that are commonly used in stock assessment and provide one example where interactive maps were used to simplify the detailed exploration of data from a long-term tagging program. Second, we focus on the modeling aspect of stock assessment and, again, we use an example to demonstrate how dynamic and interactive data visualizations can be used to explore, diagnose and communicate results from an integrated assessment model. This structure corresponds to the two general steps in the stock assessment process: 1) knowing the data, and 2) data modeling.</w:t>
      </w:r>
    </w:p>
    <w:p>
      <w:pPr>
        <w:pStyle w:val="Heading1"/>
      </w:pPr>
      <w:bookmarkStart w:id="20" w:name="knowing-the-data"/>
      <w:r>
        <w:t xml:space="preserve">Knowing the data</w:t>
      </w:r>
      <w:bookmarkEnd w:id="20"/>
    </w:p>
    <w:p>
      <w:pPr>
        <w:pStyle w:val="FirstParagraph"/>
      </w:pPr>
      <w:r>
        <w:t xml:space="preserve">The data sets used in stock assessments are constantly growing. This growth in data either stems from the continuation of long-term monitoring efforts or from the addition of new monitoring programs. As such, stock assessment biologists often have to manage large volumes of data from a variety of sources. For instance, time series of reported landings and catch-at-age are</w:t>
      </w:r>
      <w:r>
        <w:t xml:space="preserve"> </w:t>
      </w:r>
      <w:r>
        <w:t xml:space="preserve">“</w:t>
      </w:r>
      <w:r>
        <w:t xml:space="preserve">fishery-dependent</w:t>
      </w:r>
      <w:r>
        <w:t xml:space="preserve">”</w:t>
      </w:r>
      <w:r>
        <w:t xml:space="preserve"> </w:t>
      </w:r>
      <w:r>
        <w:t xml:space="preserve">data that are frequently used in stock assessments. These data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multidimensional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the plot. For instance, the ability to zoom in on features or areas of interest and hover over specific points to reveal more information creates an interactive user-driven experience that expedites explorations of the data. This is exemplified by an interactive mapping tool developed for the exploration of a long-term tagging study.</w:t>
      </w:r>
    </w:p>
    <w:p>
      <w:pPr>
        <w:pStyle w:val="BlockText"/>
      </w:pPr>
      <w:r>
        <w:t xml:space="preserve">Greg, can you introduce this tool, providing some info on the tagging database and the tools used to make the tool (Shiny, leaflet)?</w:t>
      </w:r>
    </w:p>
    <w:p>
      <w:pPr>
        <w:pStyle w:val="BlockText"/>
      </w:pPr>
      <w:r>
        <w:t xml:space="preserve">TODO: the intro paragraph to this section could use some references if it is necessary</w:t>
      </w:r>
    </w:p>
    <w:p>
      <w:pPr>
        <w:pStyle w:val="Heading1"/>
      </w:pPr>
      <w:bookmarkStart w:id="21" w:name="data-modeling"/>
      <w:r>
        <w:t xml:space="preserve">Data modeling</w:t>
      </w:r>
      <w:bookmarkEnd w:id="21"/>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software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and others 2003)</w:t>
      </w:r>
      <w:r>
        <w:t xml:space="preserve">, AD Model Builder</w:t>
      </w:r>
      <w:r>
        <w:t xml:space="preserve"> </w:t>
      </w:r>
      <w:r>
        <w:t xml:space="preserve">(Fournier et al. 2012)</w:t>
      </w:r>
      <w:r>
        <w:t xml:space="preserve"> </w:t>
      </w:r>
      <w:r>
        <w:t xml:space="preserve">and Template Model Builder</w:t>
      </w:r>
      <w:r>
        <w:t xml:space="preserve"> </w:t>
      </w:r>
      <w:r>
        <w:t xml:space="preserve">(Kristensen et al. 2015)</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managing data from a variety of sources and also understanding the algorithms that convert these data to advice for fisheries managers. By using a recently developed interactive tool for exploring the integrated assessment model for Northern cod as an example, we hope to demonstrate that interactive visualization tools can streamline the process of understanding and communicating results from complex stock assessment models.</w:t>
      </w:r>
    </w:p>
    <w:p>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w:t>
      </w:r>
      <w:r>
        <w:t xml:space="preserve"> </w:t>
      </w:r>
      <w:r>
        <w:t xml:space="preserve">“</w:t>
      </w:r>
      <w:r>
        <w:t xml:space="preserve">base case</w:t>
      </w:r>
      <w:r>
        <w:t xml:space="preserve">”</w:t>
      </w:r>
      <w:r>
        <w:t xml:space="preserve"> </w:t>
      </w:r>
      <w:r>
        <w:t xml:space="preserve">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from these monitoring programs into quantities such as recruitment, spawning stock biomass, fishing mortality and natural mortality. Once the model is fit to the data, the next step is to produce visual representations of the data and model. A standard approach would be to produce static presentations and documents with a series of figures and tables. With large amounts of model inputs and outputs, this approach quickly becomes overwhelming for both the analyst and all the stakeholders involved in the stock assessment process. First, it is not feasible for the analyst to include and describe all figures and tables produced into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for an easier and more efficient way to communicate results from NCAM, an interactive and self-contained</w:t>
      </w:r>
      <w:r>
        <w:t xml:space="preserve"> </w:t>
      </w:r>
      <w:r>
        <w:t xml:space="preserve">“</w:t>
      </w:r>
      <w:r>
        <w:t xml:space="preserve">dashboard</w:t>
      </w:r>
      <w:r>
        <w:t xml:space="preserve">”</w:t>
      </w:r>
      <w:r>
        <w:t xml:space="preserve"> </w:t>
      </w:r>
      <w:r>
        <w:t xml:space="preserve">was developed for the last assessment of Northern cod</w:t>
      </w:r>
      <w:r>
        <w:t xml:space="preserve"> </w:t>
      </w:r>
      <w:r>
        <w:t xml:space="preserve">(Dwyer et al., n.d.)</w:t>
      </w:r>
      <w:r>
        <w:t xml:space="preserve">. The concept of using a dashboard was burrowed from the business community where dashboards are frequently used to group a series of interactive visuals and tables to provide at-a-glance views of key performance indicators. Many tools have been created to facilitate the development of data dashboards and we leveraged R-based packages to construct a tool for exploring the input and output of NCAM. Specifically we utilized the flexdashboard</w:t>
      </w:r>
      <w:r>
        <w:t xml:space="preserve"> </w:t>
      </w:r>
      <w:r>
        <w:t xml:space="preserve">(Allaire 2017)</w:t>
      </w:r>
      <w:r>
        <w:t xml:space="preserve"> </w:t>
      </w:r>
      <w:r>
        <w:t xml:space="preserve">package to group interactive plotly-based</w:t>
      </w:r>
      <w:r>
        <w:t xml:space="preserve"> </w:t>
      </w:r>
      <w:r>
        <w:t xml:space="preserve">(Inc. 2015)</w:t>
      </w:r>
      <w:r>
        <w:t xml:space="preserve"> </w:t>
      </w:r>
      <w:r>
        <w:t xml:space="preserve">visuals into a dynamic document. We also used the crosstalk</w:t>
      </w:r>
      <w:r>
        <w:t xml:space="preserve"> </w:t>
      </w:r>
      <w:r>
        <w:t xml:space="preserve">(Cheng 2016)</w:t>
      </w:r>
      <w:r>
        <w:t xml:space="preserve"> </w:t>
      </w:r>
      <w:r>
        <w:t xml:space="preserve">package to link the data displayed across multiple plots. Via R Markdown</w:t>
      </w:r>
      <w:r>
        <w:t xml:space="preserve"> </w:t>
      </w:r>
      <w:r>
        <w:t xml:space="preserve">(Allaire et al. 2018)</w:t>
      </w:r>
      <w:r>
        <w:t xml:space="preserve">, the dashboard is rendered into a self-contained html file that is reproducible, interactive, and easy to update following modifications to the model or the addition of new data.</w:t>
      </w:r>
    </w:p>
    <w:p>
      <w:pPr>
        <w:pStyle w:val="BodyText"/>
      </w:pPr>
      <w:r>
        <w:t xml:space="preserve">The NCAM dashboard, which is included as a self-contained html file in Supplement 2, contains a series of tabs, the first of which provides terse point-form background on the model (tab named</w:t>
      </w:r>
      <w:r>
        <w:t xml:space="preserve"> </w:t>
      </w:r>
      <w:r>
        <w:t xml:space="preserve">“</w:t>
      </w:r>
      <w:r>
        <w:t xml:space="preserve">Background</w:t>
      </w:r>
      <w:r>
        <w:t xml:space="preserve">”</w:t>
      </w:r>
      <w:r>
        <w:t xml:space="preserve">). Subsequent tabs provide a series of diagnostic plots for assessing model fits to the catch (</w:t>
      </w:r>
      <w:r>
        <w:t xml:space="preserve">“</w:t>
      </w:r>
      <w:r>
        <w:t xml:space="preserve">Catch</w:t>
      </w:r>
      <w:r>
        <w:t xml:space="preserve">”</w:t>
      </w:r>
      <w:r>
        <w:t xml:space="preserve">), research vessel autumn trawl survey (</w:t>
      </w:r>
      <w:r>
        <w:t xml:space="preserve">“</w:t>
      </w:r>
      <w:r>
        <w:t xml:space="preserve">RV survey</w:t>
      </w:r>
      <w:r>
        <w:t xml:space="preserve">”</w:t>
      </w:r>
      <w:r>
        <w:t xml:space="preserve">), Sentinel fishery survey (</w:t>
      </w:r>
      <w:r>
        <w:t xml:space="preserve">“</w:t>
      </w:r>
      <w:r>
        <w:t xml:space="preserve">SN survey</w:t>
      </w:r>
      <w:r>
        <w:t xml:space="preserve">”</w:t>
      </w:r>
      <w:r>
        <w:t xml:space="preserve">), inshore acoustic survey (</w:t>
      </w:r>
      <w:r>
        <w:t xml:space="preserve">“</w:t>
      </w:r>
      <w:r>
        <w:t xml:space="preserve">SS survey</w:t>
      </w:r>
      <w:r>
        <w:t xml:space="preserve">”</w:t>
      </w:r>
      <w:r>
        <w:t xml:space="preserve">),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tab includes plots of observed and predicted values of mean numbers per tow captured in the research vessel survey (Figure</w:t>
      </w:r>
      <w:r>
        <w:t xml:space="preserve"> </w:t>
      </w:r>
      <w:r>
        <w:t xml:space="preserve">1</w:t>
      </w:r>
      <w:r>
        <w:t xml:space="preserve">). The dashboard also includes tabs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2</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tab and key inputs and outputs are included as tables under the</w:t>
      </w:r>
      <w:r>
        <w:t xml:space="preserve"> </w:t>
      </w:r>
      <w:r>
        <w:t xml:space="preserve">“</w:t>
      </w:r>
      <w:r>
        <w:t xml:space="preserve">Tables</w:t>
      </w:r>
      <w:r>
        <w:t xml:space="preserve">”</w:t>
      </w:r>
      <w:r>
        <w:t xml:space="preserve"> </w:t>
      </w:r>
      <w:r>
        <w:t xml:space="preserve">tab. The plots and tables included in the dashboard are similar to those typically presented at assessment meetings and in research documents, however, the interactive nature of the dashboard permits easy and efficient access to significantly more detail. For instance, the ability to zoom allows users to investigate specific patterns and tooltabs display the values behind specific points.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pPr>
        <w:pStyle w:val="BlockText"/>
      </w:pPr>
      <w:r>
        <w:t xml:space="preserve">TODO: should I add detail of questions not previously raised? If so, I can’t quite remember.</w:t>
      </w:r>
    </w:p>
    <w:p>
      <w:pPr>
        <w:pStyle w:val="CaptionedFigure"/>
      </w:pPr>
      <w:r>
        <w:drawing>
          <wp:inline>
            <wp:extent cx="5943600" cy="3962400"/>
            <wp:effectExtent b="0" l="0" r="0" t="0"/>
            <wp:docPr descr="Figure 1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2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1 -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w:t>
      </w:r>
    </w:p>
    <w:p>
      <w:pPr>
        <w:pStyle w:val="CaptionedFigure"/>
      </w:pPr>
      <w:r>
        <w:drawing>
          <wp:inline>
            <wp:extent cx="5943600" cy="3962400"/>
            <wp:effectExtent b="0" l="0" r="0" t="0"/>
            <wp:docPr descr="Figure 2 -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23"/>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24" w:name="open-stock-assessment"/>
      <w:r>
        <w:t xml:space="preserve">Open stock-assessment</w:t>
      </w:r>
      <w:bookmarkEnd w:id="24"/>
    </w:p>
    <w:p>
      <w:pPr>
        <w:pStyle w:val="FirstParagraph"/>
      </w:pPr>
      <w:r>
        <w:t xml:space="preserve">decades as has the complexities of data management, exploratory data analysis, as well as the formal analyses and associated diagnostics. The majority of this sequence of events, sometimes called</w:t>
      </w:r>
      <w:r>
        <w:t xml:space="preserve"> </w:t>
      </w:r>
      <w:r>
        <w:t xml:space="preserve">“</w:t>
      </w:r>
      <w:r>
        <w:t xml:space="preserve">the data pipeline</w:t>
      </w:r>
      <w:r>
        <w:t xml:space="preserve">”</w:t>
      </w:r>
      <w:r>
        <w:t xml:space="preserve">, have not traditionally been part of the peer-review process which sees only the end products. However, decisions made at these steps increasingly influence the outcome of the study. Gelman coined the term</w:t>
      </w:r>
      <w:r>
        <w:t xml:space="preserve"> </w:t>
      </w:r>
      <w:r>
        <w:t xml:space="preserve">“</w:t>
      </w:r>
      <w:r>
        <w:t xml:space="preserve">the forked garden path</w:t>
      </w:r>
      <w:r>
        <w:t xml:space="preserve">”</w:t>
      </w:r>
      <w:r>
        <w:t xml:space="preserve"> </w:t>
      </w:r>
      <w:r>
        <w:t xml:space="preserve">to illustrate that different conclusions can be arrived at depending on what decisions one makes along the garden path. Due to a number of limitations, such as available pages in journals, much of the data pipeline is not transparent nor is it reproducible, even if it is one’s own analysis. A number of authors have recently advocated for a culture of open science and reproducible research, i.e., a change in the transparency and reproducibility of science. Proponents of open science and reproducible research posit a number of benefits including a more productive and responsible scientific culture, an ability to address larger and more complex questions, as well as a more efficient workflow and ability to reproduce one’s own work (Lewis et al. 2018).</w:t>
      </w:r>
    </w:p>
    <w:p>
      <w:pPr>
        <w:pStyle w:val="BodyText"/>
      </w:pPr>
      <w:r>
        <w:t xml:space="preserve">We submit that the dashboard tool is also a major step forward in terms of open science and reproducible research in addition to being a major step forward in how stock assessments are presented and critiqued. Consider the following process. Through the Canadian Science Advisory Secretariat (CSAS), DFO Science provides peer-reviewed science advice to fisheries managers at regular meetings (Regional Assessment Process). These meetings are attended by a variety of stake holders including harvesters, academics, and NGOs. Documents summarizing these processes (research documents, stock assessment reports, and proceedings summaries) are available to the public through the CSAS website. Ergo the CSAS process strives to uphold the ideal of transparency. However, as it currently stands, only the end products of an assessment are open and transparent; as with virtually all scientific analyses, the data pipeline of stock assessment is hidden from review.</w:t>
      </w:r>
    </w:p>
    <w:p>
      <w:pPr>
        <w:pStyle w:val="BodyText"/>
      </w:pPr>
      <w:r>
        <w:t xml:space="preserve">With the exception of data management, the dashboard removes much this problem – all analyses and diagnostics can be readily reviewed. In terms of data management, this point is largely ameliorated because the dashboard tool is constructed in Program R using R Markdown and the code for creating the dashboard and all associated analyses are available on Github. Data are also available through information requests. So the entire data pipeline is transparent as well as reproducible, i.e., the requirements of open science are fulfilled.</w:t>
      </w:r>
    </w:p>
    <w:p>
      <w:pPr>
        <w:pStyle w:val="BodyText"/>
      </w:pPr>
      <w:r>
        <w:t xml:space="preserve">The dashboard also promotes accessibility to the stock assessment. Even if one is able to download code from a content management system (e.g., GitHub or Bitbucket), submit a data request, and manipulate the data so that it conforms to the code, it is unlikely that an individual has the time to fully recreate a particular analysis in its entirety when most reviewers are already overcommitted (Banks 20XX). In the case of NCAM, considerable statistical experience and expertise is required simply to run the model (or perhaps to even tweak the model). However, the dashboard removes many of these difficulties. The html file contains all of the relevant analyses. The number of analyses can be expanded upon request and can be distributed prior to meetings and reviewers can assess the results and diagnostics at their leisure.</w:t>
      </w:r>
    </w:p>
    <w:p>
      <w:pPr>
        <w:pStyle w:val="BodyText"/>
      </w:pPr>
      <w:r>
        <w:t xml:space="preserve">We submit that the plotly/flex dashboard tool is an important step forward in transparent and reproducible science. Further, this tool makes stock assessments more accessible to stakeholders. Beyond stock assessments, it this tool could be used for a more fulsome review of manuscripts (i.e., reviewers can now assess claims like</w:t>
      </w:r>
      <w:r>
        <w:t xml:space="preserve"> </w:t>
      </w:r>
      <w:r>
        <w:t xml:space="preserve">“</w:t>
      </w:r>
      <w:r>
        <w:t xml:space="preserve">we examined the residuals and found that the assumptions of the model were met</w:t>
      </w:r>
      <w:r>
        <w:t xml:space="preserve">”</w:t>
      </w:r>
      <w:r>
        <w:t xml:space="preserve">) in many fields.</w:t>
      </w:r>
    </w:p>
    <w:p>
      <w:pPr>
        <w:pStyle w:val="BlockText"/>
      </w:pPr>
      <w:r>
        <w:rPr>
          <w:b/>
        </w:rPr>
        <w:t xml:space="preserve">Other draft text</w:t>
      </w:r>
    </w:p>
    <w:p>
      <w:pPr>
        <w:pStyle w:val="BlockText"/>
      </w:pPr>
      <w:r>
        <w:t xml:space="preserve">A wide array data may be collected for an assessment and, formally, the process often reduces to algorithms that convert these data to advice for fisheries managers. In some cases, particularly for commercially valuable species, this means that hundreds or thousands of historical data points from the monitoring program of a stock gets reduced into a single policy value, such as a recommended catch quota</w:t>
      </w:r>
      <w:r>
        <w:t xml:space="preserve"> </w:t>
      </w:r>
      <w:r>
        <w:t xml:space="preserve">(Maunder, Schnute, and Ianelli 2009)</w:t>
      </w:r>
      <w:r>
        <w:t xml:space="preserve">. Sound management advice therefore hinges on the ability of stock assessment biologists to manage, interpret and communicate large volumes of data from a variety of sources.</w:t>
      </w:r>
    </w:p>
    <w:p>
      <w:pPr>
        <w:pStyle w:val="BlockText"/>
      </w:pPr>
      <w:r>
        <w:t xml:space="preserve">In this data-intensive era of stock assessment, one of the difficulties becomes visualizing the inputs and outputs to integrated stock assessment models. The standard approach has been to create a series of tables and static plots to help assess the inputs and model fits. Data presented in tables is incredibly valuable, but as human beings, seeing patterns can be challenging. Static figures, in contrast, help reveal patterns but they are divorced from the underlying data and, as such, limit detailed explorations. New tools are bridging this gap by making it easier to build interactive figures</w:t>
      </w:r>
      <w:r>
        <w:t xml:space="preserve"> </w:t>
      </w:r>
      <w:r>
        <w:t xml:space="preserve">(Perkel 2018)</w:t>
      </w:r>
      <w:r>
        <w:t xml:space="preserve">.</w:t>
      </w:r>
    </w:p>
    <w:p>
      <w:pPr>
        <w:pStyle w:val="BlockText"/>
      </w:pPr>
      <w:r>
        <w:rPr>
          <w:b/>
        </w:rPr>
        <w:t xml:space="preserve">Links to some handy references</w:t>
      </w:r>
    </w:p>
    <w:p>
      <w:pPr>
        <w:pStyle w:val="BlockText"/>
      </w:pPr>
      <w:r>
        <w:t xml:space="preserve">Interactive visuals…visual representation of the data and model that help us interpret complex data at a glance</w:t>
      </w:r>
      <w:r>
        <w:t xml:space="preserve"> </w:t>
      </w:r>
      <w:hyperlink r:id="rId25">
        <w:r>
          <w:rPr>
            <w:rStyle w:val="Hyperlink"/>
          </w:rPr>
          <w:t xml:space="preserve">https://campus.sagepub.com/blog/3-benefits-of-interactive-visualization</w:t>
        </w:r>
      </w:hyperlink>
    </w:p>
    <w:p>
      <w:pPr>
        <w:pStyle w:val="BlockText"/>
      </w:pPr>
      <w:hyperlink r:id="rId26">
        <w:r>
          <w:rPr>
            <w:rStyle w:val="Hyperlink"/>
          </w:rPr>
          <w:t xml:space="preserve">https://centricdigital.com/blog/digital-trends/the-value-of-interactive-data-visualization-and-why-it-matters-to-business/</w:t>
        </w:r>
      </w:hyperlink>
    </w:p>
    <w:p>
      <w:pPr>
        <w:pStyle w:val="BlockText"/>
      </w:pPr>
      <w:hyperlink r:id="rId27">
        <w:r>
          <w:rPr>
            <w:rStyle w:val="Hyperlink"/>
          </w:rPr>
          <w:t xml:space="preserve">https://www.nature.com/articles/s41467-018-03297-7</w:t>
        </w:r>
      </w:hyperlink>
    </w:p>
    <w:p>
      <w:pPr>
        <w:pStyle w:val="BlockText"/>
      </w:pPr>
      <w:hyperlink r:id="rId28">
        <w:r>
          <w:rPr>
            <w:rStyle w:val="Hyperlink"/>
          </w:rPr>
          <w:t xml:space="preserve">https://esajournals.onlinelibrary.wiley.com/doi/full/10.1890/120103</w:t>
        </w:r>
      </w:hyperlink>
    </w:p>
    <w:p>
      <w:pPr>
        <w:pStyle w:val="BlockText"/>
      </w:pPr>
      <w:hyperlink r:id="rId29">
        <w:r>
          <w:rPr>
            <w:rStyle w:val="Hyperlink"/>
          </w:rPr>
          <w:t xml:space="preserve">https://www.nature.com/articles/d41586-018-01322-9</w:t>
        </w:r>
      </w:hyperlink>
    </w:p>
    <w:p>
      <w:pPr>
        <w:pStyle w:val="BlockText"/>
      </w:pPr>
      <w:r>
        <w:t xml:space="preserve">“</w:t>
      </w:r>
      <w:r>
        <w:t xml:space="preserve">The ultimate objective of Fisheries Science is to inform management</w:t>
      </w:r>
      <w:r>
        <w:t xml:space="preserve">”</w:t>
      </w:r>
      <w:r>
        <w:t xml:space="preserve"> </w:t>
      </w:r>
      <w:r>
        <w:t xml:space="preserve">(</w:t>
      </w:r>
      <w:hyperlink r:id="rId30">
        <w:r>
          <w:rPr>
            <w:rStyle w:val="Hyperlink"/>
          </w:rPr>
          <w:t xml:space="preserve">http://www.fao.org/tempref/docrep/fao/008/a0212e/a0212E02.pdf</w:t>
        </w:r>
      </w:hyperlink>
      <w:r>
        <w:t xml:space="preserve">)</w:t>
      </w:r>
    </w:p>
    <w:p>
      <w:pPr>
        <w:pStyle w:val="Heading1"/>
      </w:pPr>
      <w:bookmarkStart w:id="31" w:name="references"/>
      <w:r>
        <w:t xml:space="preserve">References</w:t>
      </w:r>
      <w:bookmarkEnd w:id="31"/>
    </w:p>
    <w:bookmarkStart w:id="49" w:name="refs"/>
    <w:bookmarkStart w:id="33" w:name="ref-allaire2017"/>
    <w:p>
      <w:pPr>
        <w:pStyle w:val="Bibliography"/>
      </w:pPr>
      <w:r>
        <w:t xml:space="preserve">Allaire, JJ. 2017.</w:t>
      </w:r>
      <w:r>
        <w:t xml:space="preserve"> </w:t>
      </w:r>
      <w:r>
        <w:rPr>
          <w:i/>
        </w:rPr>
        <w:t xml:space="preserve">Flexdashboard: R Markdown Format for Flexible Dashboards</w:t>
      </w:r>
      <w:r>
        <w:t xml:space="preserve">.</w:t>
      </w:r>
      <w:r>
        <w:t xml:space="preserve"> </w:t>
      </w:r>
      <w:hyperlink r:id="rId32">
        <w:r>
          <w:rPr>
            <w:rStyle w:val="Hyperlink"/>
          </w:rPr>
          <w:t xml:space="preserve">https://CRAN.R-project.org/package=flexdashboard</w:t>
        </w:r>
      </w:hyperlink>
      <w:r>
        <w:t xml:space="preserve">.</w:t>
      </w:r>
    </w:p>
    <w:bookmarkEnd w:id="33"/>
    <w:bookmarkStart w:id="35" w:name="ref-markdown"/>
    <w:p>
      <w:pPr>
        <w:pStyle w:val="Bibliography"/>
      </w:pPr>
      <w:r>
        <w:t xml:space="preserve">Allaire, JJ, Jeffrey Horner, Yihui Xie, Vicent Marti, and Natacha Porte. 2018.</w:t>
      </w:r>
      <w:r>
        <w:t xml:space="preserve"> </w:t>
      </w:r>
      <w:r>
        <w:rPr>
          <w:i/>
        </w:rPr>
        <w:t xml:space="preserve">Markdown: ’Markdown’ Rendering for R</w:t>
      </w:r>
      <w:r>
        <w:t xml:space="preserve">.</w:t>
      </w:r>
      <w:r>
        <w:t xml:space="preserve"> </w:t>
      </w:r>
      <w:hyperlink r:id="rId34">
        <w:r>
          <w:rPr>
            <w:rStyle w:val="Hyperlink"/>
          </w:rPr>
          <w:t xml:space="preserve">https://CRAN.R-project.org/package=markdown</w:t>
        </w:r>
      </w:hyperlink>
      <w:r>
        <w:t xml:space="preserve">.</w:t>
      </w:r>
    </w:p>
    <w:bookmarkEnd w:id="35"/>
    <w:bookmarkStart w:id="36" w:name="ref-cadigan2016"/>
    <w:p>
      <w:pPr>
        <w:pStyle w:val="Bibliography"/>
      </w:pPr>
      <w:r>
        <w:t xml:space="preserve">Cadigan, Noel G. 2016. “A State-Space Stock Assessment Model for Northern Cod, Including Under-Reported Catches and Variable Natural Mortality Rates.”</w:t>
      </w:r>
      <w:r>
        <w:t xml:space="preserve"> </w:t>
      </w:r>
      <w:r>
        <w:rPr>
          <w:i/>
        </w:rPr>
        <w:t xml:space="preserve">Canadian Journal of Fisheries and Aquatic Sciences</w:t>
      </w:r>
      <w:r>
        <w:t xml:space="preserve"> </w:t>
      </w:r>
      <w:r>
        <w:t xml:space="preserve">73 (2): 296–308.</w:t>
      </w:r>
    </w:p>
    <w:bookmarkEnd w:id="36"/>
    <w:bookmarkStart w:id="38" w:name="ref-cheng2016"/>
    <w:p>
      <w:pPr>
        <w:pStyle w:val="Bibliography"/>
      </w:pPr>
      <w:r>
        <w:t xml:space="preserve">Cheng, Joe. 2016.</w:t>
      </w:r>
      <w:r>
        <w:t xml:space="preserve"> </w:t>
      </w:r>
      <w:r>
        <w:rPr>
          <w:i/>
        </w:rPr>
        <w:t xml:space="preserve">Crosstalk: Inter-Widget Interactivity for Html Widgets</w:t>
      </w:r>
      <w:r>
        <w:t xml:space="preserve">.</w:t>
      </w:r>
      <w:r>
        <w:t xml:space="preserve"> </w:t>
      </w:r>
      <w:hyperlink r:id="rId37">
        <w:r>
          <w:rPr>
            <w:rStyle w:val="Hyperlink"/>
          </w:rPr>
          <w:t xml:space="preserve">https://CRAN.R-project.org/package=crosstalk</w:t>
        </w:r>
      </w:hyperlink>
      <w:r>
        <w:t xml:space="preserve">.</w:t>
      </w:r>
    </w:p>
    <w:bookmarkEnd w:id="38"/>
    <w:bookmarkStart w:id="39" w:name="ref-dwyer2019"/>
    <w:p>
      <w:pPr>
        <w:pStyle w:val="Bibliography"/>
      </w:pPr>
      <w:r>
        <w:t xml:space="preserve">Dwyer, KS, J Brattey, N Cadigan, BP Healey, DW Ings, EM Lee, Maddock ParsonsD, MJ Morgan, PM Regular, and RM Rideout. n.d. “Assessment of the Northern Cod (</w:t>
      </w:r>
      <w:r>
        <w:rPr>
          <w:i/>
        </w:rPr>
        <w:t xml:space="preserve">Gadus Morhua</w:t>
      </w:r>
      <w:r>
        <w:t xml:space="preserve">) Stock in Nafo Divisions 2J3KL in 2018.”</w:t>
      </w:r>
      <w:r>
        <w:t xml:space="preserve"> </w:t>
      </w:r>
      <w:r>
        <w:rPr>
          <w:i/>
        </w:rPr>
        <w:t xml:space="preserve">DFO Can. Sci. Advis. Sec. Res. Doc.</w:t>
      </w:r>
      <w:r>
        <w:t xml:space="preserve"> </w:t>
      </w:r>
      <w:r>
        <w:t xml:space="preserve">2019/nnn: v + 126p.</w:t>
      </w:r>
    </w:p>
    <w:bookmarkEnd w:id="39"/>
    <w:bookmarkStart w:id="40" w:name="ref-fournier2012"/>
    <w:p>
      <w:pPr>
        <w:pStyle w:val="Bibliography"/>
      </w:pPr>
      <w:r>
        <w:t xml:space="preserve">Fournier, David A, Hans J Skaug, Johnoel Ancheta, James Ianelli, Arni Magnusson, Mark N Maunder, Anders Nielsen, and John Sibert. 2012. “AD Model Builder: Using Automatic Differentiation for Statistical Inference of Highly Parameterized Complex Nonlinear Models.”</w:t>
      </w:r>
      <w:r>
        <w:t xml:space="preserve"> </w:t>
      </w:r>
      <w:r>
        <w:rPr>
          <w:i/>
        </w:rPr>
        <w:t xml:space="preserve">Optimization Methods and Software</w:t>
      </w:r>
      <w:r>
        <w:t xml:space="preserve"> </w:t>
      </w:r>
      <w:r>
        <w:t xml:space="preserve">27 (2): 233–49.</w:t>
      </w:r>
    </w:p>
    <w:bookmarkEnd w:id="40"/>
    <w:bookmarkStart w:id="42" w:name="ref-plotly"/>
    <w:p>
      <w:pPr>
        <w:pStyle w:val="Bibliography"/>
      </w:pPr>
      <w:r>
        <w:t xml:space="preserve">Inc., Plotly Technologies. 2015. “Collaborative Data Science.” Montreal, QC: Plotly Technologies Inc. 2015.</w:t>
      </w:r>
      <w:r>
        <w:t xml:space="preserve"> </w:t>
      </w:r>
      <w:hyperlink r:id="rId41">
        <w:r>
          <w:rPr>
            <w:rStyle w:val="Hyperlink"/>
          </w:rPr>
          <w:t xml:space="preserve">https://plot.ly</w:t>
        </w:r>
      </w:hyperlink>
      <w:r>
        <w:t xml:space="preserve">.</w:t>
      </w:r>
    </w:p>
    <w:bookmarkEnd w:id="42"/>
    <w:bookmarkStart w:id="43" w:name="ref-kristensen2015"/>
    <w:p>
      <w:pPr>
        <w:pStyle w:val="Bibliography"/>
      </w:pPr>
      <w:r>
        <w:t xml:space="preserve">Kristensen, Kasper, Anders Nielsen, Casper W Berg, Hans Skaug, and Brad Bell. 2015. “TMB: Automatic Differentiation and Laplace Approximation.”</w:t>
      </w:r>
      <w:r>
        <w:t xml:space="preserve"> </w:t>
      </w:r>
      <w:r>
        <w:rPr>
          <w:i/>
        </w:rPr>
        <w:t xml:space="preserve">arXiv Preprint arXiv:1509.00660</w:t>
      </w:r>
      <w:r>
        <w:t xml:space="preserve">.</w:t>
      </w:r>
    </w:p>
    <w:bookmarkEnd w:id="43"/>
    <w:bookmarkStart w:id="44" w:name="ref-link1999"/>
    <w:p>
      <w:pPr>
        <w:pStyle w:val="Bibliography"/>
      </w:pPr>
      <w:r>
        <w:t xml:space="preserve">Link, William A. 1999. “Modeling Pattern in Collections of Parameters.”</w:t>
      </w:r>
      <w:r>
        <w:t xml:space="preserve"> </w:t>
      </w:r>
      <w:r>
        <w:rPr>
          <w:i/>
        </w:rPr>
        <w:t xml:space="preserve">The Journal of Wildlife Management</w:t>
      </w:r>
      <w:r>
        <w:t xml:space="preserve">, 1017–27.</w:t>
      </w:r>
    </w:p>
    <w:bookmarkEnd w:id="44"/>
    <w:bookmarkStart w:id="45" w:name="ref-maunder2013"/>
    <w:p>
      <w:pPr>
        <w:pStyle w:val="Bibliography"/>
      </w:pPr>
      <w:r>
        <w:t xml:space="preserve">Maunder, Mark N, and André E Punt. 2013. “A Review of Integrated Analysis in Fisheries Stock Assessment.”</w:t>
      </w:r>
      <w:r>
        <w:t xml:space="preserve"> </w:t>
      </w:r>
      <w:r>
        <w:rPr>
          <w:i/>
        </w:rPr>
        <w:t xml:space="preserve">Fisheries Research</w:t>
      </w:r>
      <w:r>
        <w:t xml:space="preserve"> </w:t>
      </w:r>
      <w:r>
        <w:t xml:space="preserve">142: 61–74.</w:t>
      </w:r>
    </w:p>
    <w:bookmarkEnd w:id="45"/>
    <w:bookmarkStart w:id="46" w:name="ref-maunder2009"/>
    <w:p>
      <w:pPr>
        <w:pStyle w:val="Bibliography"/>
      </w:pPr>
      <w:r>
        <w:t xml:space="preserve">Maunder, Mark N, Jon T Schnute, and James N Ianelli. 2009. “Computers in Fisheries Population Dynamics.” In</w:t>
      </w:r>
      <w:r>
        <w:t xml:space="preserve"> </w:t>
      </w:r>
      <w:r>
        <w:rPr>
          <w:i/>
        </w:rPr>
        <w:t xml:space="preserve">Computers in Fisheries Research</w:t>
      </w:r>
      <w:r>
        <w:t xml:space="preserve">, 337–72. Springer.</w:t>
      </w:r>
    </w:p>
    <w:bookmarkEnd w:id="46"/>
    <w:bookmarkStart w:id="47" w:name="ref-perkel2018"/>
    <w:p>
      <w:pPr>
        <w:pStyle w:val="Bibliography"/>
      </w:pPr>
      <w:r>
        <w:t xml:space="preserve">Perkel, Jeffrey M. 2018. “Data Visualization Tools Drive Interactivity and Reproducibility in Online Publishing.”</w:t>
      </w:r>
      <w:r>
        <w:t xml:space="preserve"> </w:t>
      </w:r>
      <w:r>
        <w:rPr>
          <w:i/>
        </w:rPr>
        <w:t xml:space="preserve">Nature</w:t>
      </w:r>
      <w:r>
        <w:t xml:space="preserve"> </w:t>
      </w:r>
      <w:r>
        <w:t xml:space="preserve">554 (7690): 133–34.</w:t>
      </w:r>
    </w:p>
    <w:bookmarkEnd w:id="47"/>
    <w:bookmarkStart w:id="48" w:name="ref-plummer2003"/>
    <w:p>
      <w:pPr>
        <w:pStyle w:val="Bibliography"/>
      </w:pPr>
      <w:r>
        <w:t xml:space="preserve">Plummer, Martyn, and others. 2003. “JAGS: A Program for Analysis of Bayesian Graphical Models Using Gibbs Sampling.” In</w:t>
      </w:r>
      <w:r>
        <w:t xml:space="preserve"> </w:t>
      </w:r>
      <w:r>
        <w:rPr>
          <w:i/>
        </w:rPr>
        <w:t xml:space="preserve">Proceedings of the 3rd International Workshop on Distributed Statistical Computing</w:t>
      </w:r>
      <w:r>
        <w:t xml:space="preserve">. Vol. 124. 125.10. Vienna, Austria.</w:t>
      </w:r>
    </w:p>
    <w:bookmarkEnd w:id="48"/>
    <w:bookmarkEnd w:id="49"/>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B65B79">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hyperlink" Id="rId30" Target="http://www.fao.org/tempref/docrep/fao/008/a0212e/a0212E02.pdf" TargetMode="External" /><Relationship Type="http://schemas.openxmlformats.org/officeDocument/2006/relationships/hyperlink" Id="rId37" Target="https://CRAN.R-project.org/package=crosstalk" TargetMode="External" /><Relationship Type="http://schemas.openxmlformats.org/officeDocument/2006/relationships/hyperlink" Id="rId32" Target="https://CRAN.R-project.org/package=flexdashboard" TargetMode="External" /><Relationship Type="http://schemas.openxmlformats.org/officeDocument/2006/relationships/hyperlink" Id="rId34" Target="https://CRAN.R-project.org/package=markdown" TargetMode="External" /><Relationship Type="http://schemas.openxmlformats.org/officeDocument/2006/relationships/hyperlink" Id="rId25" Target="https://campus.sagepub.com/blog/3-benefits-of-interactive-visualization" TargetMode="External" /><Relationship Type="http://schemas.openxmlformats.org/officeDocument/2006/relationships/hyperlink" Id="rId26" Target="https://centricdigital.com/blog/digital-trends/the-value-of-interactive-data-visualization-and-why-it-matters-to-business/" TargetMode="External" /><Relationship Type="http://schemas.openxmlformats.org/officeDocument/2006/relationships/hyperlink" Id="rId28" Target="https://esajournals.onlinelibrary.wiley.com/doi/full/10.1890/120103" TargetMode="External" /><Relationship Type="http://schemas.openxmlformats.org/officeDocument/2006/relationships/hyperlink" Id="rId41" Target="https://plot.ly" TargetMode="External" /><Relationship Type="http://schemas.openxmlformats.org/officeDocument/2006/relationships/hyperlink" Id="rId29" Target="https://www.nature.com/articles/d41586-018-01322-9" TargetMode="External" /><Relationship Type="http://schemas.openxmlformats.org/officeDocument/2006/relationships/hyperlink" Id="rId27" Target="https://www.nature.com/articles/s41467-018-03297-7" TargetMode="External" /></Relationships>
</file>

<file path=word/_rels/footnotes.xml.rels><?xml version="1.0" encoding="UTF-8"?>
<Relationships xmlns="http://schemas.openxmlformats.org/package/2006/relationships"><Relationship Type="http://schemas.openxmlformats.org/officeDocument/2006/relationships/hyperlink" Id="rId30" Target="http://www.fao.org/tempref/docrep/fao/008/a0212e/a0212E02.pdf" TargetMode="External" /><Relationship Type="http://schemas.openxmlformats.org/officeDocument/2006/relationships/hyperlink" Id="rId37" Target="https://CRAN.R-project.org/package=crosstalk" TargetMode="External" /><Relationship Type="http://schemas.openxmlformats.org/officeDocument/2006/relationships/hyperlink" Id="rId32" Target="https://CRAN.R-project.org/package=flexdashboard" TargetMode="External" /><Relationship Type="http://schemas.openxmlformats.org/officeDocument/2006/relationships/hyperlink" Id="rId34" Target="https://CRAN.R-project.org/package=markdown" TargetMode="External" /><Relationship Type="http://schemas.openxmlformats.org/officeDocument/2006/relationships/hyperlink" Id="rId25" Target="https://campus.sagepub.com/blog/3-benefits-of-interactive-visualization" TargetMode="External" /><Relationship Type="http://schemas.openxmlformats.org/officeDocument/2006/relationships/hyperlink" Id="rId26" Target="https://centricdigital.com/blog/digital-trends/the-value-of-interactive-data-visualization-and-why-it-matters-to-business/" TargetMode="External" /><Relationship Type="http://schemas.openxmlformats.org/officeDocument/2006/relationships/hyperlink" Id="rId28" Target="https://esajournals.onlinelibrary.wiley.com/doi/full/10.1890/120103" TargetMode="External" /><Relationship Type="http://schemas.openxmlformats.org/officeDocument/2006/relationships/hyperlink" Id="rId41" Target="https://plot.ly" TargetMode="External" /><Relationship Type="http://schemas.openxmlformats.org/officeDocument/2006/relationships/hyperlink" Id="rId29" Target="https://www.nature.com/articles/d41586-018-01322-9" TargetMode="External" /><Relationship Type="http://schemas.openxmlformats.org/officeDocument/2006/relationships/hyperlink" Id="rId27" Target="https://www.nature.com/articles/s41467-018-03297-7"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transparency of stock assessment using interactive visualization tools</dc:title>
  <dc:creator>Paul M Regular, Gregory J Robertson, Keith P. Lewis, etc?</dc:creator>
  <cp:keywords/>
  <dcterms:created xsi:type="dcterms:W3CDTF">2019-03-05T13:02:59Z</dcterms:created>
  <dcterms:modified xsi:type="dcterms:W3CDTF">2019-03-05T13:02:59Z</dcterms:modified>
</cp:coreProperties>
</file>

<file path=docProps/custom.xml><?xml version="1.0" encoding="utf-8"?>
<Properties xmlns="http://schemas.openxmlformats.org/officeDocument/2006/custom-properties" xmlns:vt="http://schemas.openxmlformats.org/officeDocument/2006/docPropsVTypes"/>
</file>