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on stock status, it has become more difficult to communicate the basis of this advice in a meaningful way. Visualizations play a critical role in communicating this information to stakeholders</w:t>
      </w:r>
      <w:r>
        <w:t xml:space="preserve"> </w:t>
      </w:r>
      <w:r>
        <w:t xml:space="preserve">(Levontin et al. 2017)</w:t>
      </w:r>
      <w:r>
        <w:t xml:space="preserve">. However, traditional formats (e.g. slides)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available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Such tools complement static documentation as they allow audiences to explore data and models in ways not amenable to static formats and, in the process, they improve accessibility and augment communication efforts. These will be helpful tools to utilize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in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 R package called RStrap</w:t>
      </w:r>
      <w:r>
        <w:t xml:space="preserve"> </w:t>
      </w:r>
      <w:r>
        <w:t xml:space="preserve">(for details on methodology see Smith and Somerton 1981)</w:t>
      </w:r>
      <w:r>
        <w:t xml:space="preserve">. Both the inputs and outputs from RStrap analyses are very large and, depending on the species, may include &gt; 40 years and span the majority of the Newfoundland and Labrador shelf. In order for fisheries scientists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as a dedicated program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database has over 600,000 records as of early 2019, with 2,000-10,000 tags deployed annually in recent decades. The tagging and recovery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tag release and tag recovery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A screen shot of cod tag mapping tool using shinydashboard and leaflet. The markercluster function dynamically splits or pools tagging locations (red, orange, green or yellow points) depending on zoom level, the recovery positions (blue) are much fewer, and are left to be plotted individually at all scales. Options to include pop up labels are included, so specific information on each point can be retrieved with a mouse click (in this case: tag number, fish length, date released, and date recove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A screen shot of cod tag mapping tool using shinydashboard and leaflet. The markercluster function dynamically splits or pools tagging locations (red, orange, green or yellow points) depending on zoom level, the recovery positions (blue) are much fewer, and are left to be plotted individually at all scales. Options to include pop up labels are included, so specific information on each point can be retrieved with a mouse click (in this case: tag number, fish length, date released, and date recovered),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 Such issues have largely been curtailed in contemporary stock assessments as advances in statistical computing have enabled integrated analyses of data from multiple monitoring programs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and Template Model Builder</w:t>
      </w:r>
      <w:r>
        <w:t xml:space="preserve"> </w:t>
      </w:r>
      <w:r>
        <w:t xml:space="preserve">(TMB; 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reported fishery landings (1983-present), and tagging (1983-present). Using a series of observation equations, this TMB based model simplifies thousands of data points into quantities such as annual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numerous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w:t>
      </w:r>
      <w:r>
        <w:t xml:space="preserve"> </w:t>
      </w:r>
      <w:r>
        <w:t xml:space="preserve">(i.e. Cadigan 2016; Dwyer et al. 2019)</w:t>
      </w:r>
      <w:r>
        <w:t xml:space="preserve">, however, it was built to serve as an interactive alternative to a standard presentation for communicating the latest results to an audience with a working knowledge of the stock and assessment model. Explanatory text and detail were therefore kept to a minimum, allowing the audience to explore the figures and data unencumbered by verbose descriptions.</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Landings</w:t>
      </w:r>
      <w:r>
        <w:t xml:space="preserve">”</w:t>
      </w:r>
      <w:r>
        <w:t xml:space="preserve">; accessed from the</w:t>
      </w:r>
      <w:r>
        <w:t xml:space="preserve"> </w:t>
      </w:r>
      <w:r>
        <w:t xml:space="preserve">“</w:t>
      </w:r>
      <w:r>
        <w:t xml:space="preserve">Fishery</w:t>
      </w:r>
      <w:r>
        <w:t xml:space="preserve">”</w:t>
      </w:r>
      <w:r>
        <w:t xml:space="preserve"> </w:t>
      </w:r>
      <w:r>
        <w:t xml:space="preserve">drop-down menu),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selectivity (</w:t>
      </w:r>
      <w:r>
        <w:t xml:space="preserve">“</w:t>
      </w:r>
      <w:r>
        <w:t xml:space="preserve">Selectivity</w:t>
      </w:r>
      <w:r>
        <w:t xml:space="preserve">”</w:t>
      </w:r>
      <w:r>
        <w:t xml:space="preserve">; accessed from the</w:t>
      </w:r>
      <w:r>
        <w:t xml:space="preserve"> </w:t>
      </w:r>
      <w:r>
        <w:t xml:space="preserve">“</w:t>
      </w:r>
      <w:r>
        <w:t xml:space="preserve">Fishery</w:t>
      </w:r>
      <w:r>
        <w:t xml:space="preserve">”</w:t>
      </w:r>
      <w:r>
        <w:t xml:space="preserve"> </w:t>
      </w:r>
      <w:r>
        <w:t xml:space="preserve">drop-down menu) and catchability (</w:t>
      </w:r>
      <w:r>
        <w:t xml:space="preserve">“</w:t>
      </w:r>
      <w:r>
        <w:t xml:space="preserve">Catchability</w:t>
      </w:r>
      <w:r>
        <w:t xml:space="preserve">”</w:t>
      </w:r>
      <w:r>
        <w:t xml:space="preserve">; accessed from the</w:t>
      </w:r>
      <w:r>
        <w:t xml:space="preserve"> </w:t>
      </w:r>
      <w:r>
        <w:t xml:space="preserve">“</w:t>
      </w:r>
      <w:r>
        <w:t xml:space="preserve">Surveys</w:t>
      </w:r>
      <w:r>
        <w:t xml:space="preserve">”</w:t>
      </w:r>
      <w:r>
        <w:t xml:space="preserve"> </w:t>
      </w:r>
      <w:r>
        <w:t xml:space="preserve">drop-down menu). Pages for viewing trends in various population parameters are included under the</w:t>
      </w:r>
      <w:r>
        <w:t xml:space="preserve"> </w:t>
      </w:r>
      <w:r>
        <w:t xml:space="preserve">“</w:t>
      </w:r>
      <w:r>
        <w:t xml:space="preserve">Trends</w:t>
      </w:r>
      <w:r>
        <w:t xml:space="preserve">”</w:t>
      </w:r>
      <w:r>
        <w:t xml:space="preserve"> </w:t>
      </w:r>
      <w:r>
        <w:t xml:space="preserve">drop-down menu, where the</w:t>
      </w:r>
      <w:r>
        <w:t xml:space="preserve"> </w:t>
      </w:r>
      <w:r>
        <w:t xml:space="preserve">“</w:t>
      </w:r>
      <w:r>
        <w:t xml:space="preserve">Retrospective analysis</w:t>
      </w:r>
      <w:r>
        <w:t xml:space="preserve">”</w:t>
      </w:r>
      <w:r>
        <w:t xml:space="preserve"> </w:t>
      </w:r>
      <w:r>
        <w:t xml:space="preserve">page displays results from a retrospective analysis, the</w:t>
      </w:r>
      <w:r>
        <w:t xml:space="preserve"> </w:t>
      </w:r>
      <w:r>
        <w:t xml:space="preserve">“</w:t>
      </w:r>
      <w:r>
        <w:t xml:space="preserve">Model comparison</w:t>
      </w:r>
      <w:r>
        <w:t xml:space="preserve">”</w:t>
      </w:r>
      <w:r>
        <w:t xml:space="preserve"> </w:t>
      </w:r>
      <w:r>
        <w:t xml:space="preserve">page displays population trends from different model runs, the</w:t>
      </w:r>
      <w:r>
        <w:t xml:space="preserve"> </w:t>
      </w:r>
      <w:r>
        <w:t xml:space="preserve">“</w:t>
      </w:r>
      <w:r>
        <w:t xml:space="preserve">Status and rates</w:t>
      </w:r>
      <w:r>
        <w:t xml:space="preserve">”</w:t>
      </w:r>
      <w:r>
        <w:t xml:space="preserve"> </w:t>
      </w:r>
      <w:r>
        <w:t xml:space="preserve">page displays trends in stock size and vital rates (Figure</w:t>
      </w:r>
      <w:r>
        <w:t xml:space="preserve"> </w:t>
      </w:r>
      <w:r>
        <w:t xml:space="preserve">6</w:t>
      </w:r>
      <w:r>
        <w:t xml:space="preserve">), and the</w:t>
      </w:r>
      <w:r>
        <w:t xml:space="preserve"> </w:t>
      </w:r>
      <w:r>
        <w:t xml:space="preserve">“</w:t>
      </w:r>
      <w:r>
        <w:t xml:space="preserve">Productivity</w:t>
      </w:r>
      <w:r>
        <w:t xml:space="preserve">”</w:t>
      </w:r>
      <w:r>
        <w:t xml:space="preserve"> </w:t>
      </w:r>
      <w:r>
        <w:t xml:space="preserve">page focuses on trends in Spawning Stock Biomass (SSB) and recruitment. Finally,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First, interactive plots nested in a dashboard permit relatively easy and efficient access to the details as it replaces scrolling through tens, if not hundreds, of pages or slides with mouse-clicks across a smaller number of dynamic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issue can be addressed through other approaches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pPr>
        <w:pStyle w:val="BodyText"/>
      </w:pPr>
      <w:r>
        <w:t xml:space="preserve">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relieves any potential concerns that something is hidden.</w:t>
      </w:r>
    </w:p>
    <w:p>
      <w:pPr>
        <w:pStyle w:val="CaptionedFigure"/>
      </w:pPr>
      <w:r>
        <w:drawing>
          <wp:inline>
            <wp:extent cx="5943600" cy="2906791"/>
            <wp:effectExtent b="0" l="0" r="0" t="0"/>
            <wp:docPr descr="Figure 5: Screenshot of the “RV survey” tab from the NCAM dashboard where total observed (dots) and NCAM model predicted values (lines) for the DFO RV survey index are shown in the left panel and standardized log residuals by year, cohort, age, and expected value (dots), with lowess curves (lines),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2906791"/>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left panel and standardized log residuals by year, cohort, age, and expected value (dots), with lowess curves (lines), are shown in the right panel.</w:t>
      </w:r>
    </w:p>
    <w:p>
      <w:pPr>
        <w:pStyle w:val="CaptionedFigure"/>
      </w:pPr>
      <w:r>
        <w:drawing>
          <wp:inline>
            <wp:extent cx="5943600" cy="2906791"/>
            <wp:effectExtent b="0" l="0" r="0" t="0"/>
            <wp:docPr descr="Figure 6: Screenshot of the “Trends” tab which displays stock status estimates (abundance, biomass, and biomass relative to Blim [average biomass through the 1980s]) on the left panel, and mortality rates (average F, M, and Z) on the right panel."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2906791"/>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stock status estimates (abundance, biomass, and biomass relative to B</w:t>
      </w:r>
      <w:r>
        <w:rPr>
          <w:vertAlign w:val="subscript"/>
        </w:rPr>
        <w:t xml:space="preserve">lim</w:t>
      </w:r>
      <w:r>
        <w:t xml:space="preserve"> </w:t>
      </w:r>
      <w:r>
        <w:t xml:space="preserve">[average biomass through the 1980s]) on the left panel, and mortality rates (average F, M, and Z) on the right panel.</w:t>
      </w:r>
    </w:p>
    <w:p>
      <w:pPr>
        <w:pStyle w:val="Heading1"/>
      </w:pPr>
      <w:bookmarkStart w:id="32" w:name="from-bespoke-to-general-tools"/>
      <w:r>
        <w:t xml:space="preserve">From bespoke to general tools</w:t>
      </w:r>
      <w:bookmarkEnd w:id="32"/>
    </w:p>
    <w:p>
      <w:pPr>
        <w:pStyle w:val="FirstParagraph"/>
      </w:pPr>
      <w:r>
        <w:t xml:space="preserve">The interactive tools highlighted here were custom built to solve data visualization challenges that are common to many fisheries management organizations but the solutions presented are specific to the Northwest Atlantic Fisheries Centre. The concept is therefore broadly applicable, however, the underlying code will require modifications to accommodate region and stock specific data management and modelling approaches. Even within our own region, different approaches and needs meant that the code behind NCAM explorer (Supplement 2) required modifications when applied to a model developed for another cod stock. Nevertheless, considerable chunks of code were recycled and, in the process, new features were added to allow the visualization of multiple model configurations within the one dashboard. Additionally, a French colleague is currently modifying the tool to visualize output from SAM, a state-space stock assessment model widely used to assess ICES stocks</w:t>
      </w:r>
      <w:r>
        <w:t xml:space="preserve"> </w:t>
      </w:r>
      <w:r>
        <w:t xml:space="preserve">(Nielsen and Berg 2014)</w:t>
      </w:r>
      <w:r>
        <w:t xml:space="preserve">. Likewise, the concept behind RStrap Explorer and the tagging tool could be applied to other regions and the most efficient approach may be to build upon existing general frameworks</w:t>
      </w:r>
      <w:r>
        <w:t xml:space="preserve"> </w:t>
      </w:r>
      <w:r>
        <w:t xml:space="preserve">(e.g. StoX software; Johnsen et al. 2019)</w:t>
      </w:r>
      <w:r>
        <w:t xml:space="preserve">. These are, of course, early days in the development and application of interactive tools to stock assessment. Because the tools we highlight are themselves general, flexible, and accessible, we suspect that bespoke applications will continue to be developed in parallel with more general stock assessment dashboards depending on user needs and preferences. Regardless of the approach, a common goal is to make the workflow more efficient, reproducible, and transparent.</w:t>
      </w:r>
    </w:p>
    <w:p>
      <w:pPr>
        <w:pStyle w:val="Heading1"/>
      </w:pPr>
      <w:bookmarkStart w:id="33" w:name="towards-open-stock-assessment"/>
      <w:r>
        <w:t xml:space="preserve">Towards open stock assessment</w:t>
      </w:r>
      <w:bookmarkEnd w:id="33"/>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full data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4">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step forward in terms of open science as they make the peer review process more efficient. Although these tools do not reveal the entire data pipeline, a wide range of stakeholders and scientists can easily access and review details of an analysis without running a line of code. For most participants of a stock assessment, even if the entire pipeline was completely open, the details would remain inaccessible simply because most participants are already overcommitted</w:t>
      </w:r>
      <w:r>
        <w:t xml:space="preserve"> </w:t>
      </w:r>
      <w:r>
        <w:t xml:space="preserve">(Banks 2011)</w:t>
      </w:r>
      <w:r>
        <w:t xml:space="preserve"> </w:t>
      </w:r>
      <w:r>
        <w:t xml:space="preserve">and do not have the time to fully review and recreate a particular analysis in its entirety.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the results presented in the dashboard.</w:t>
      </w:r>
    </w:p>
    <w:p>
      <w:pPr>
        <w:pStyle w:val="Heading1"/>
      </w:pPr>
      <w:bookmarkStart w:id="35" w:name="conclusions"/>
      <w:r>
        <w:t xml:space="preserve">Conclusions</w:t>
      </w:r>
      <w:bookmarkEnd w:id="35"/>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 utility of data visualizations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the upfront time investment has been worthwhile considering the improved efficiency of delivering products for subsequent stock assessments, and in the quality of the data exploration and understanding.</w:t>
      </w:r>
    </w:p>
    <w:p>
      <w:pPr>
        <w:pStyle w:val="Heading1"/>
      </w:pPr>
      <w:bookmarkStart w:id="36" w:name="acknowledgements"/>
      <w:r>
        <w:t xml:space="preserve">Acknowledgements</w:t>
      </w:r>
      <w:bookmarkEnd w:id="36"/>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BodyText"/>
      </w:pPr>
      <w:r>
        <w:t xml:space="preserve">All code used to generate this paper, Supplement 1 (getting started dashboard) and Supplement 2 (NCAM explorer) are available at</w:t>
      </w:r>
      <w:r>
        <w:t xml:space="preserve"> </w:t>
      </w:r>
      <w:hyperlink r:id="rId37">
        <w:r>
          <w:rPr>
            <w:rStyle w:val="Hyperlink"/>
          </w:rPr>
          <w:t xml:space="preserve">https://github.com/PaulRegular/interactive-stock-assessment</w:t>
        </w:r>
      </w:hyperlink>
      <w:r>
        <w:t xml:space="preserve">.</w:t>
      </w:r>
    </w:p>
    <w:p>
      <w:pPr>
        <w:pStyle w:val="Heading1"/>
      </w:pPr>
      <w:bookmarkStart w:id="38" w:name="appendix-a"/>
      <w:r>
        <w:t xml:space="preserve">Appendix A</w:t>
      </w:r>
      <w:bookmarkEnd w:id="38"/>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9">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40">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41">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2">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3">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4">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5">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6">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7">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8">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9">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50" w:name="references"/>
      <w:r>
        <w:t xml:space="preserve">References</w:t>
      </w:r>
      <w:bookmarkEnd w:id="50"/>
    </w:p>
    <w:bookmarkStart w:id="118" w:name="refs"/>
    <w:bookmarkStart w:id="52" w:name="ref-allaire2017"/>
    <w:p>
      <w:pPr>
        <w:pStyle w:val="Bibliography"/>
      </w:pPr>
      <w:r>
        <w:t xml:space="preserve">Allaire, J. 2017. Flexdashboard: R markdown format for flexible dashboards. Available from</w:t>
      </w:r>
      <w:r>
        <w:t xml:space="preserve"> </w:t>
      </w:r>
      <w:hyperlink r:id="rId51">
        <w:r>
          <w:rPr>
            <w:rStyle w:val="Hyperlink"/>
          </w:rPr>
          <w:t xml:space="preserve">https://CRAN.R-project.org/package=flexdashboard</w:t>
        </w:r>
      </w:hyperlink>
      <w:r>
        <w:t xml:space="preserve">.</w:t>
      </w:r>
    </w:p>
    <w:bookmarkEnd w:id="52"/>
    <w:bookmarkStart w:id="54" w:name="ref-allaire2018"/>
    <w:p>
      <w:pPr>
        <w:pStyle w:val="Bibliography"/>
      </w:pPr>
      <w:r>
        <w:t xml:space="preserve">Allaire, J., Horner, J., Xie, Y., Marti, V., and Porte, N. 2018. Markdown: ’Markdown’ rendering for r. Available from</w:t>
      </w:r>
      <w:r>
        <w:t xml:space="preserve"> </w:t>
      </w:r>
      <w:hyperlink r:id="rId53">
        <w:r>
          <w:rPr>
            <w:rStyle w:val="Hyperlink"/>
          </w:rPr>
          <w:t xml:space="preserve">https://CRAN.R-project.org/package=markdown</w:t>
        </w:r>
      </w:hyperlink>
      <w:r>
        <w:t xml:space="preserve">.</w:t>
      </w:r>
    </w:p>
    <w:bookmarkEnd w:id="54"/>
    <w:bookmarkStart w:id="56" w:name="ref-anderson2020"/>
    <w:p>
      <w:pPr>
        <w:pStyle w:val="Bibliography"/>
      </w:pPr>
      <w:r>
        <w:t xml:space="preserve">Anderson, S.C., Grandin, C., Edwards, A.M., Grinnell, M.H., Ricard, D., and Haigh, R. 2020. csasdown: Reproducible CSAS reports with bookdown. Available from</w:t>
      </w:r>
      <w:r>
        <w:t xml:space="preserve"> </w:t>
      </w:r>
      <w:hyperlink r:id="rId55">
        <w:r>
          <w:rPr>
            <w:rStyle w:val="Hyperlink"/>
          </w:rPr>
          <w:t xml:space="preserve">https://github.com/pbs-assess/csasdown</w:t>
        </w:r>
      </w:hyperlink>
      <w:r>
        <w:t xml:space="preserve">.</w:t>
      </w:r>
    </w:p>
    <w:bookmarkEnd w:id="56"/>
    <w:bookmarkStart w:id="57"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7"/>
    <w:bookmarkStart w:id="58"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8"/>
    <w:bookmarkStart w:id="59"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9"/>
    <w:bookmarkStart w:id="61" w:name="ref-chang2018b"/>
    <w:p>
      <w:pPr>
        <w:pStyle w:val="Bibliography"/>
      </w:pPr>
      <w:r>
        <w:t xml:space="preserve">Chang, W., and Borges Ribeiro, B. 2018. Shinydashboard: Create dashboards with ’shiny’. Available from</w:t>
      </w:r>
      <w:r>
        <w:t xml:space="preserve"> </w:t>
      </w:r>
      <w:hyperlink r:id="rId60">
        <w:r>
          <w:rPr>
            <w:rStyle w:val="Hyperlink"/>
          </w:rPr>
          <w:t xml:space="preserve">https://CRAN.R-project.org/package=shinydashboard</w:t>
        </w:r>
      </w:hyperlink>
      <w:r>
        <w:t xml:space="preserve">.</w:t>
      </w:r>
    </w:p>
    <w:bookmarkEnd w:id="61"/>
    <w:bookmarkStart w:id="63" w:name="ref-chang2018a"/>
    <w:p>
      <w:pPr>
        <w:pStyle w:val="Bibliography"/>
      </w:pPr>
      <w:r>
        <w:t xml:space="preserve">Chang, W., Cheng, J., Allaire, J., Xie, Y., and McPherson, J. 2018. Shiny: Web application framework for r. Available from</w:t>
      </w:r>
      <w:r>
        <w:t xml:space="preserve"> </w:t>
      </w:r>
      <w:hyperlink r:id="rId62">
        <w:r>
          <w:rPr>
            <w:rStyle w:val="Hyperlink"/>
          </w:rPr>
          <w:t xml:space="preserve">https://CRAN.R-project.org/package=shiny</w:t>
        </w:r>
      </w:hyperlink>
      <w:r>
        <w:t xml:space="preserve">.</w:t>
      </w:r>
    </w:p>
    <w:bookmarkEnd w:id="63"/>
    <w:bookmarkStart w:id="65" w:name="ref-cheng2016"/>
    <w:p>
      <w:pPr>
        <w:pStyle w:val="Bibliography"/>
      </w:pPr>
      <w:r>
        <w:t xml:space="preserve">Cheng, J. 2016. Crosstalk: Inter-widget interactivity for html widgets. Available from</w:t>
      </w:r>
      <w:r>
        <w:t xml:space="preserve"> </w:t>
      </w:r>
      <w:hyperlink r:id="rId64">
        <w:r>
          <w:rPr>
            <w:rStyle w:val="Hyperlink"/>
          </w:rPr>
          <w:t xml:space="preserve">https://CRAN.R-project.org/package=crosstalk</w:t>
        </w:r>
      </w:hyperlink>
      <w:r>
        <w:t xml:space="preserve">.</w:t>
      </w:r>
    </w:p>
    <w:bookmarkEnd w:id="65"/>
    <w:bookmarkStart w:id="67" w:name="ref-cheng2018"/>
    <w:p>
      <w:pPr>
        <w:pStyle w:val="Bibliography"/>
      </w:pPr>
      <w:r>
        <w:t xml:space="preserve">Cheng, J., Karambelkar, B., and Xie, Y. 2018. Leaflet: Create interactive web maps with the javascript ’leaflet’ library. Available from</w:t>
      </w:r>
      <w:r>
        <w:t xml:space="preserve"> </w:t>
      </w:r>
      <w:hyperlink r:id="rId66">
        <w:r>
          <w:rPr>
            <w:rStyle w:val="Hyperlink"/>
          </w:rPr>
          <w:t xml:space="preserve">https://CRAN.R-project.org/package=leaflet</w:t>
        </w:r>
      </w:hyperlink>
      <w:r>
        <w:t xml:space="preserve">.</w:t>
      </w:r>
    </w:p>
    <w:bookmarkEnd w:id="67"/>
    <w:bookmarkStart w:id="68"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8"/>
    <w:bookmarkStart w:id="69"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9"/>
    <w:bookmarkStart w:id="70"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70"/>
    <w:bookmarkStart w:id="71"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71"/>
    <w:bookmarkStart w:id="73"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2">
        <w:r>
          <w:rPr>
            <w:rStyle w:val="Hyperlink"/>
          </w:rPr>
          <w:t xml:space="preserve">10.1511/2014.111.460</w:t>
        </w:r>
      </w:hyperlink>
      <w:r>
        <w:t xml:space="preserve">.</w:t>
      </w:r>
    </w:p>
    <w:bookmarkEnd w:id="73"/>
    <w:bookmarkStart w:id="74"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4"/>
    <w:bookmarkStart w:id="75"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5"/>
    <w:bookmarkStart w:id="76"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6"/>
    <w:bookmarkStart w:id="77"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7"/>
    <w:bookmarkStart w:id="78"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8"/>
    <w:bookmarkStart w:id="79" w:name="ref-hilborn1992"/>
    <w:p>
      <w:pPr>
        <w:pStyle w:val="Bibliography"/>
      </w:pPr>
      <w:r>
        <w:t xml:space="preserve">Hilborn, R., and Walters, C.J. 1992. Quantitative fisheries stock assessment: Choice, dynamics and uncertainty. Chapman; Hall.</w:t>
      </w:r>
    </w:p>
    <w:bookmarkEnd w:id="79"/>
    <w:bookmarkStart w:id="80"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80"/>
    <w:bookmarkStart w:id="81" w:name="ref-johnsen2019"/>
    <w:p>
      <w:pPr>
        <w:pStyle w:val="Bibliography"/>
      </w:pPr>
      <w:r>
        <w:t xml:space="preserve">Johnsen, E., Totland, A., Skålevik, Å., Holmin, A.J., Dingsør, G.E., Fuglebakk, E., and Handegard, N.O. 2019. StoX: An open source software for marine survey analyses. Methods in Ecology and Evolution</w:t>
      </w:r>
      <w:r>
        <w:t xml:space="preserve"> </w:t>
      </w:r>
      <w:r>
        <w:rPr>
          <w:b/>
        </w:rPr>
        <w:t xml:space="preserve">10</w:t>
      </w:r>
      <w:r>
        <w:t xml:space="preserve">(9): 1523–1528. Wiley Online Library.</w:t>
      </w:r>
    </w:p>
    <w:bookmarkEnd w:id="81"/>
    <w:bookmarkStart w:id="82"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82"/>
    <w:bookmarkStart w:id="83"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3"/>
    <w:bookmarkStart w:id="85"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4">
        <w:r>
          <w:rPr>
            <w:rStyle w:val="Hyperlink"/>
          </w:rPr>
          <w:t xml:space="preserve">10.18637/jss.v070.i05</w:t>
        </w:r>
      </w:hyperlink>
      <w:r>
        <w:t xml:space="preserve">.</w:t>
      </w:r>
    </w:p>
    <w:bookmarkEnd w:id="85"/>
    <w:bookmarkStart w:id="86"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6"/>
    <w:bookmarkStart w:id="87"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7"/>
    <w:bookmarkStart w:id="88"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8"/>
    <w:bookmarkStart w:id="89"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9"/>
    <w:bookmarkStart w:id="90"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90"/>
    <w:bookmarkStart w:id="91"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91"/>
    <w:bookmarkStart w:id="92"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92"/>
    <w:bookmarkStart w:id="94" w:name="ref-magnusson2020"/>
    <w:p>
      <w:pPr>
        <w:pStyle w:val="Bibliography"/>
      </w:pPr>
      <w:r>
        <w:t xml:space="preserve">Magnusson, A., and Millar, C. 2020. IcesTAF: Functions to support the ices transparent assessment framework. Available from</w:t>
      </w:r>
      <w:r>
        <w:t xml:space="preserve"> </w:t>
      </w:r>
      <w:hyperlink r:id="rId93">
        <w:r>
          <w:rPr>
            <w:rStyle w:val="Hyperlink"/>
          </w:rPr>
          <w:t xml:space="preserve">https://CRAN.R-project.org/package=icesTAF</w:t>
        </w:r>
      </w:hyperlink>
      <w:r>
        <w:t xml:space="preserve">.</w:t>
      </w:r>
    </w:p>
    <w:bookmarkEnd w:id="94"/>
    <w:bookmarkStart w:id="95"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5"/>
    <w:bookmarkStart w:id="96"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6"/>
    <w:bookmarkStart w:id="97"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7"/>
    <w:bookmarkStart w:id="98"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8"/>
    <w:bookmarkStart w:id="99"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9"/>
    <w:bookmarkStart w:id="100" w:name="ref-nielsen2014"/>
    <w:p>
      <w:pPr>
        <w:pStyle w:val="Bibliography"/>
      </w:pPr>
      <w:r>
        <w:t xml:space="preserve">Nielsen, A., and Berg, C.W. 2014. Estimation of time-varying selectivity in stock assessments using state-space models. Fisheries Research</w:t>
      </w:r>
      <w:r>
        <w:t xml:space="preserve"> </w:t>
      </w:r>
      <w:r>
        <w:rPr>
          <w:b/>
        </w:rPr>
        <w:t xml:space="preserve">158</w:t>
      </w:r>
      <w:r>
        <w:t xml:space="preserve">: 96–101. Elsevier.</w:t>
      </w:r>
    </w:p>
    <w:bookmarkEnd w:id="100"/>
    <w:bookmarkStart w:id="101"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101"/>
    <w:bookmarkStart w:id="102"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102"/>
    <w:bookmarkStart w:id="104" w:name="ref-R"/>
    <w:p>
      <w:pPr>
        <w:pStyle w:val="Bibliography"/>
      </w:pPr>
      <w:r>
        <w:t xml:space="preserve">R Core Team. 2017. R: A language and environment for statistical computing. R Foundation for Statistical Computing, Vienna, Austria. Available from</w:t>
      </w:r>
      <w:r>
        <w:t xml:space="preserve"> </w:t>
      </w:r>
      <w:hyperlink r:id="rId103">
        <w:r>
          <w:rPr>
            <w:rStyle w:val="Hyperlink"/>
          </w:rPr>
          <w:t xml:space="preserve">https://www.R-project.org/</w:t>
        </w:r>
      </w:hyperlink>
      <w:r>
        <w:t xml:space="preserve">.</w:t>
      </w:r>
    </w:p>
    <w:bookmarkEnd w:id="104"/>
    <w:bookmarkStart w:id="106"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5">
        <w:r>
          <w:rPr>
            <w:rStyle w:val="Hyperlink"/>
          </w:rPr>
          <w:t xml:space="preserve">https://github.com/nafc-assess/NAFOdown</w:t>
        </w:r>
      </w:hyperlink>
      <w:r>
        <w:t xml:space="preserve">.</w:t>
      </w:r>
    </w:p>
    <w:bookmarkEnd w:id="106"/>
    <w:bookmarkStart w:id="107"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7"/>
    <w:bookmarkStart w:id="109" w:name="ref-Rstudio"/>
    <w:p>
      <w:pPr>
        <w:pStyle w:val="Bibliography"/>
      </w:pPr>
      <w:r>
        <w:t xml:space="preserve">RStudio Team. 2015. RStudio: Integrated development environment for r. RStudio, Inc., Boston, MA. Available from</w:t>
      </w:r>
      <w:r>
        <w:t xml:space="preserve"> </w:t>
      </w:r>
      <w:hyperlink r:id="rId108">
        <w:r>
          <w:rPr>
            <w:rStyle w:val="Hyperlink"/>
          </w:rPr>
          <w:t xml:space="preserve">http://www.rstudio.com/</w:t>
        </w:r>
      </w:hyperlink>
      <w:r>
        <w:t xml:space="preserve">.</w:t>
      </w:r>
    </w:p>
    <w:bookmarkEnd w:id="109"/>
    <w:bookmarkStart w:id="111" w:name="ref-sievert2018"/>
    <w:p>
      <w:pPr>
        <w:pStyle w:val="Bibliography"/>
      </w:pPr>
      <w:r>
        <w:t xml:space="preserve">Sievert, C. 2018. Plotly for R. Available from</w:t>
      </w:r>
      <w:r>
        <w:t xml:space="preserve"> </w:t>
      </w:r>
      <w:hyperlink r:id="rId110">
        <w:r>
          <w:rPr>
            <w:rStyle w:val="Hyperlink"/>
          </w:rPr>
          <w:t xml:space="preserve">https://plotly-book.cpsievert.me</w:t>
        </w:r>
      </w:hyperlink>
      <w:r>
        <w:t xml:space="preserve">.</w:t>
      </w:r>
    </w:p>
    <w:bookmarkEnd w:id="111"/>
    <w:bookmarkStart w:id="112"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12"/>
    <w:bookmarkStart w:id="113"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13"/>
    <w:bookmarkStart w:id="115" w:name="ref-tukey1977"/>
    <w:p>
      <w:pPr>
        <w:pStyle w:val="Bibliography"/>
      </w:pPr>
      <w:r>
        <w:t xml:space="preserve">Tukey, J. 1977. Exploratory data analysis. Addison-Wesley Publishing Company. Available from</w:t>
      </w:r>
      <w:r>
        <w:t xml:space="preserve"> </w:t>
      </w:r>
      <w:hyperlink r:id="rId114">
        <w:r>
          <w:rPr>
            <w:rStyle w:val="Hyperlink"/>
          </w:rPr>
          <w:t xml:space="preserve">https://books.google.ca/books?id=UT9dAAAAIAAJ</w:t>
        </w:r>
      </w:hyperlink>
      <w:r>
        <w:t xml:space="preserve">.</w:t>
      </w:r>
    </w:p>
    <w:bookmarkEnd w:id="115"/>
    <w:bookmarkStart w:id="116"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6"/>
    <w:bookmarkStart w:id="117"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7"/>
    <w:bookmarkEnd w:id="118"/>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2020-04-17T01:22:22Z</dcterms:created>
  <dcterms:modified xsi:type="dcterms:W3CDTF">2020-04-17T01:22:22Z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