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22.png" ContentType="image/png"/>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t xml:space="preserve">Quantitative stock assessment plays a central role in modern fisheries management</w:t>
      </w:r>
      <w:r>
        <w:t xml:space="preserve"> </w:t>
      </w:r>
      <w:r>
        <w:t xml:space="preserve">(Hilborn &amp;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&amp;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w:t>
      </w:r>
      <w:r>
        <w:t xml:space="preserve"> </w:t>
      </w:r>
      <w:r>
        <w:t xml:space="preserve">(Keena, Etman, Draper, Pinheiro, &amp; Dyson, 2016)</w:t>
      </w:r>
      <w:r>
        <w:t xml:space="preserve">. These are common tools we use every day on a range of web sites, but their use is no longer restricted to web site developers as these tools are being integrated into software commonly used by the research community.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Richie-Halford, Smith, Keshavan, &amp; Rokem,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two recently developed interactive tools: 1) a tool designed to quickly examine fishery-independent survey data; and 2) an interactive mapping tool developed for the exploration of a long-term tagging study.</w:t>
      </w:r>
    </w:p>
    <w:p>
      <w:pPr>
        <w:pStyle w:val="Heading2"/>
      </w:pPr>
      <w:bookmarkStart w:id="21" w:name="survey-data"/>
      <w:r>
        <w:t xml:space="preserve">Survey data</w:t>
      </w:r>
      <w:bookmarkEnd w:id="21"/>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Currently,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the analysis are very large and, depending on the species, the time-series may include &gt; 40 years and span the majority of the Newfoundland and Labrador shelf. In order for people to quickly and reliability explore these data without iteratively modifying R scripts, an app was built using a combination of shiny</w:t>
      </w:r>
      <w:r>
        <w:t xml:space="preserve"> </w:t>
      </w:r>
      <w:r>
        <w:t xml:space="preserve">(Chang et al., 2018)</w:t>
      </w:r>
      <w:r>
        <w:t xml:space="preserve">, crosstalk</w:t>
      </w:r>
      <w:r>
        <w:t xml:space="preserve"> </w:t>
      </w:r>
      <w:r>
        <w:t xml:space="preserve">(Cheng, 2016)</w:t>
      </w:r>
      <w:r>
        <w:t xml:space="preserve">, flexdashboard</w:t>
      </w:r>
      <w:r>
        <w:t xml:space="preserve"> </w:t>
      </w:r>
      <w:r>
        <w:t xml:space="preserve">(Allaire, 2017)</w:t>
      </w:r>
      <w:r>
        <w:t xml:space="preserve">, plotly</w:t>
      </w:r>
      <w:r>
        <w:t xml:space="preserve"> </w:t>
      </w:r>
      <w:r>
        <w:t xml:space="preserve">(Sievert, 2018)</w:t>
      </w:r>
      <w:r>
        <w:t xml:space="preserve">, and R Markdown</w:t>
      </w:r>
      <w:r>
        <w:t xml:space="preserve"> </w:t>
      </w:r>
      <w:r>
        <w:t xml:space="preserve">(Allaire, Horner, Xie, Marti, &amp; Porte, 2018)</w:t>
      </w:r>
      <w:r>
        <w:t xml:space="preserve"> </w:t>
      </w:r>
      <w:r>
        <w:t xml:space="preserve">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The app started as a way to visualize estimates of biomass and abundance trends of specific species using the flexdashboard package, however, shiny was latter applied as it allows stratified analyses to be run in the background and therefore allows the user to dynamically explore estimates from multiple species in the one session. Both crosstalk and plotly were incorporated to allow the user to interact with the data. The app contains four primary tabs (</w:t>
      </w:r>
      <w:r>
        <w:t xml:space="preserve">“</w:t>
      </w:r>
      <w:r>
        <w:t xml:space="preserve">Survey Indices</w:t>
      </w:r>
      <w:r>
        <w:t xml:space="preserve">”</w:t>
      </w:r>
      <w:r>
        <w:t xml:space="preserve">,</w:t>
      </w:r>
      <w:r>
        <w:t xml:space="preserve"> </w:t>
      </w:r>
      <w:r>
        <w:t xml:space="preserve">“</w:t>
      </w:r>
      <w:r>
        <w:t xml:space="preserve">Age &amp; Length Distributions</w:t>
      </w:r>
      <w:r>
        <w:t xml:space="preserve">”</w:t>
      </w:r>
      <w:r>
        <w:t xml:space="preserve">,</w:t>
      </w:r>
      <w:r>
        <w:t xml:space="preserve"> </w:t>
      </w:r>
      <w:r>
        <w:t xml:space="preserve">“</w:t>
      </w:r>
      <w:r>
        <w:t xml:space="preserve">Recruitment</w:t>
      </w:r>
      <w:r>
        <w:t xml:space="preserve">”</w:t>
      </w:r>
      <w:r>
        <w:t xml:space="preserve">, and</w:t>
      </w:r>
      <w:r>
        <w:t xml:space="preserve"> </w:t>
      </w:r>
      <w:r>
        <w:t xml:space="preserve">“</w:t>
      </w:r>
      <w:r>
        <w:t xml:space="preserve">Help</w:t>
      </w:r>
      <w:r>
        <w:t xml:space="preserve">”</w:t>
      </w:r>
      <w:r>
        <w:t xml:space="preserve">) containing stock level estimates of biomass (Figure</w:t>
      </w:r>
      <w:r>
        <w:t xml:space="preserve"> </w:t>
      </w:r>
      <w:r>
        <w:t xml:space="preserve">1</w:t>
      </w:r>
      <w:r>
        <w:t xml:space="preserve">) and abundance, mean numbers and weights per standardized survey tow, stock level biomass broken out by division, age and length frequencies (Figure</w:t>
      </w:r>
      <w:r>
        <w:t xml:space="preserve"> </w:t>
      </w:r>
      <w:r>
        <w:t xml:space="preserve">2</w:t>
      </w:r>
      <w:r>
        <w:t xml:space="preserve">), and recruitment indices. The number of potential inputs to RStrap are rather large and most do not need to be modified. Some inputs however, do require modification. The input interface on the RStrap Explorer app is divided into two parts: basic and advanced inputs. Basic inputs are those like species, season, and survey year(s). 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This app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2"/>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RStrap Explorer tool, using flexdashboard, plotly, and shiny. On the left side of the figure, one can see the</w:t>
      </w:r>
      <w:r>
        <w:t xml:space="preserve"> </w:t>
      </w:r>
      <w:r>
        <w:t xml:space="preserve">“</w:t>
      </w:r>
      <w:r>
        <w:t xml:space="preserve">Basic Inputs</w:t>
      </w:r>
      <w:r>
        <w:t xml:space="preserve">”</w:t>
      </w:r>
      <w:r>
        <w:t xml:space="preserve"> </w:t>
      </w:r>
      <w:r>
        <w:t xml:space="preserve">sidebar, which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the unconverted time-series of biomass data with 95% confidence intervals (Engle and Campelen)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3"/>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4" w:name="tagging-data"/>
      <w:r>
        <w:t xml:space="preserve">Tagging data</w:t>
      </w:r>
      <w:bookmarkEnd w:id="24"/>
    </w:p>
    <w:p>
      <w:pPr>
        <w:pStyle w:val="FirstParagraph"/>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5">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6"/>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7"/>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8" w:name="data-modeling"/>
      <w:r>
        <w:t xml:space="preserve">Data modeling</w:t>
      </w:r>
      <w:bookmarkEnd w:id="28"/>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model to model comparisons. The dashboard also makes it easy to share the results with colleagues and stakeholders as it is rendered into a self-contained html file. This allows others to independently scrutinize details of the data and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[e.g Prob(SSB</w:t>
      </w:r>
      <w:r>
        <w:rPr>
          <w:vertAlign w:val="subscript"/>
        </w:rPr>
        <w:t xml:space="preserve">2020</w:t>
      </w:r>
      <w:r>
        <w:t xml:space="preserve"> </w:t>
      </w:r>
      <w:r>
        <w:t xml:space="preserve">≥ B</w:t>
      </w:r>
      <w:r>
        <w:rPr>
          <w:vertAlign w:val="subscript"/>
        </w:rPr>
        <w:t xml:space="preserve">lim</w:t>
      </w:r>
      <w:r>
        <w:t xml:space="preserve">)].</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1" w:name="towards-open-stock-assessment"/>
      <w:r>
        <w:t xml:space="preserve">Towards open stock-assessment</w:t>
      </w:r>
      <w:bookmarkEnd w:id="31"/>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While these tools may not reveal the entire data-pipeline,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that can be distributed prior to meetings and,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2" w:name="conclusions"/>
      <w:r>
        <w:t xml:space="preserve">Conclusions</w:t>
      </w:r>
      <w:bookmarkEnd w:id="32"/>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33" w:name="acknowledgements"/>
      <w:r>
        <w:t xml:space="preserve">Acknowledgements</w:t>
      </w:r>
      <w:bookmarkEnd w:id="33"/>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4" w:name="appendix-a"/>
      <w:r>
        <w:t xml:space="preserve">Appendix A</w:t>
      </w:r>
      <w:bookmarkEnd w:id="34"/>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5">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6">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7">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8">
        <w:r>
          <w:rPr>
            <w:rStyle w:val="Hyperlink"/>
          </w:rPr>
          <w:t xml:space="preserve">https://shiny.marine.ie/stockbook/</w:t>
        </w:r>
      </w:hyperlink>
      <w:r>
        <w:t xml:space="preserve">) from The Marine Institute</w:t>
      </w:r>
    </w:p>
    <w:p>
      <w:pPr>
        <w:pStyle w:val="Compact"/>
        <w:numPr>
          <w:numId w:val="1001"/>
          <w:ilvl w:val="0"/>
        </w:numPr>
      </w:pPr>
      <w:r>
        <w:t xml:space="preserve">Catchy Data (</w:t>
      </w:r>
      <w:hyperlink r:id="rId39">
        <w:r>
          <w:rPr>
            <w:rStyle w:val="Hyperlink"/>
          </w:rPr>
          <w:t xml:space="preserve">https://eu.oceana.org/en/catchy-data</w:t>
        </w:r>
      </w:hyperlink>
      <w:r>
        <w:t xml:space="preserve">) from Oceana</w:t>
      </w:r>
    </w:p>
    <w:p>
      <w:pPr>
        <w:pStyle w:val="Compact"/>
        <w:numPr>
          <w:numId w:val="1001"/>
          <w:ilvl w:val="0"/>
        </w:numPr>
      </w:pPr>
      <w:r>
        <w:t xml:space="preserve">VISA tool (e.g. </w:t>
      </w:r>
      <w:hyperlink r:id="rId40">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1" w:name="references"/>
      <w:r>
        <w:t xml:space="preserve">References</w:t>
      </w:r>
      <w:bookmarkEnd w:id="41"/>
    </w:p>
    <w:bookmarkStart w:id="86" w:name="refs"/>
    <w:bookmarkStart w:id="43"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42">
        <w:r>
          <w:rPr>
            <w:rStyle w:val="Hyperlink"/>
          </w:rPr>
          <w:t xml:space="preserve">https://CRAN.R-project.org/package=flexdashboard</w:t>
        </w:r>
      </w:hyperlink>
    </w:p>
    <w:bookmarkEnd w:id="43"/>
    <w:bookmarkStart w:id="45"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44">
        <w:r>
          <w:rPr>
            <w:rStyle w:val="Hyperlink"/>
          </w:rPr>
          <w:t xml:space="preserve">https://CRAN.R-project.org/package=markdown</w:t>
        </w:r>
      </w:hyperlink>
    </w:p>
    <w:bookmarkEnd w:id="45"/>
    <w:bookmarkStart w:id="46"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46"/>
    <w:bookmarkStart w:id="47"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47"/>
    <w:bookmarkStart w:id="49"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48">
        <w:r>
          <w:rPr>
            <w:rStyle w:val="Hyperlink"/>
          </w:rPr>
          <w:t xml:space="preserve">https://CRAN.R-project.org/package=shinydashboard</w:t>
        </w:r>
      </w:hyperlink>
    </w:p>
    <w:bookmarkEnd w:id="49"/>
    <w:bookmarkStart w:id="51"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50">
        <w:r>
          <w:rPr>
            <w:rStyle w:val="Hyperlink"/>
          </w:rPr>
          <w:t xml:space="preserve">https://CRAN.R-project.org/package=shiny</w:t>
        </w:r>
      </w:hyperlink>
    </w:p>
    <w:bookmarkEnd w:id="51"/>
    <w:bookmarkStart w:id="53"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52">
        <w:r>
          <w:rPr>
            <w:rStyle w:val="Hyperlink"/>
          </w:rPr>
          <w:t xml:space="preserve">https://CRAN.R-project.org/package=crosstalk</w:t>
        </w:r>
      </w:hyperlink>
    </w:p>
    <w:bookmarkEnd w:id="53"/>
    <w:bookmarkStart w:id="55"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54">
        <w:r>
          <w:rPr>
            <w:rStyle w:val="Hyperlink"/>
          </w:rPr>
          <w:t xml:space="preserve">https://CRAN.R-project.org/package=leaflet</w:t>
        </w:r>
      </w:hyperlink>
    </w:p>
    <w:bookmarkEnd w:id="55"/>
    <w:bookmarkStart w:id="56"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56"/>
    <w:bookmarkStart w:id="57"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57"/>
    <w:bookmarkStart w:id="58"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58"/>
    <w:bookmarkStart w:id="60"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59">
        <w:r>
          <w:rPr>
            <w:rStyle w:val="Hyperlink"/>
          </w:rPr>
          <w:t xml:space="preserve">https://doi.org/10.1511/2014.111.460</w:t>
        </w:r>
      </w:hyperlink>
    </w:p>
    <w:bookmarkEnd w:id="60"/>
    <w:bookmarkStart w:id="61"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61"/>
    <w:bookmarkStart w:id="62"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62"/>
    <w:bookmarkStart w:id="63" w:name="ref-hilborn1992"/>
    <w:p>
      <w:pPr>
        <w:pStyle w:val="Bibliography"/>
      </w:pPr>
      <w:r>
        <w:t xml:space="preserve">Hilborn, R., &amp; Walters, C. J. (1992).</w:t>
      </w:r>
      <w:r>
        <w:t xml:space="preserve"> </w:t>
      </w:r>
      <w:r>
        <w:rPr>
          <w:i/>
        </w:rPr>
        <w:t xml:space="preserve">Quantitative fisheries stock assessment: Choice, dynamics and uncertainty</w:t>
      </w:r>
      <w:r>
        <w:t xml:space="preserve">. Chapman; Hall.</w:t>
      </w:r>
    </w:p>
    <w:bookmarkEnd w:id="63"/>
    <w:bookmarkStart w:id="64" w:name="ref-jones2016"/>
    <w:p>
      <w:pPr>
        <w:pStyle w:val="Bibliography"/>
      </w:pPr>
      <w:r>
        <w:t xml:space="preserve">Jones, A. S., Horsburgh, J. S., Jackson-Smith, D., Ramı́rez, M., Flint, C. G., &amp; Caraballo, J. (2016). A web-based, interactive visualization tool for social environmental survey data.</w:t>
      </w:r>
      <w:r>
        <w:t xml:space="preserve"> </w:t>
      </w:r>
      <w:r>
        <w:rPr>
          <w:i/>
        </w:rPr>
        <w:t xml:space="preserve">Environmental Modelling &amp; Software</w:t>
      </w:r>
      <w:r>
        <w:t xml:space="preserve">,</w:t>
      </w:r>
      <w:r>
        <w:t xml:space="preserve"> </w:t>
      </w:r>
      <w:r>
        <w:rPr>
          <w:i/>
        </w:rPr>
        <w:t xml:space="preserve">84</w:t>
      </w:r>
      <w:r>
        <w:t xml:space="preserve">, 412–426.</w:t>
      </w:r>
    </w:p>
    <w:bookmarkEnd w:id="64"/>
    <w:bookmarkStart w:id="65" w:name="ref-keena2016"/>
    <w:p>
      <w:pPr>
        <w:pStyle w:val="Bibliography"/>
      </w:pPr>
      <w:r>
        <w:t xml:space="preserve">Keena, N., Etman, M. A., Draper, J., Pinheiro, P., &amp; Dyson, A. (2016). Interactive visualization for interdisciplinary research.</w:t>
      </w:r>
      <w:r>
        <w:t xml:space="preserve"> </w:t>
      </w:r>
      <w:r>
        <w:rPr>
          <w:i/>
        </w:rPr>
        <w:t xml:space="preserve">Electronic Imaging</w:t>
      </w:r>
      <w:r>
        <w:t xml:space="preserve">,</w:t>
      </w:r>
      <w:r>
        <w:t xml:space="preserve"> </w:t>
      </w:r>
      <w:r>
        <w:rPr>
          <w:i/>
        </w:rPr>
        <w:t xml:space="preserve">2016</w:t>
      </w:r>
      <w:r>
        <w:t xml:space="preserve">(1), 1–7.</w:t>
      </w:r>
    </w:p>
    <w:bookmarkEnd w:id="65"/>
    <w:bookmarkStart w:id="67"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66">
        <w:r>
          <w:rPr>
            <w:rStyle w:val="Hyperlink"/>
          </w:rPr>
          <w:t xml:space="preserve">https://doi.org/10.18637/jss.v070.i05</w:t>
        </w:r>
      </w:hyperlink>
    </w:p>
    <w:bookmarkEnd w:id="67"/>
    <w:bookmarkStart w:id="68"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68"/>
    <w:bookmarkStart w:id="69"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69"/>
    <w:bookmarkStart w:id="70" w:name="ref-letcher2018"/>
    <w:p>
      <w:pPr>
        <w:pStyle w:val="Bibliography"/>
      </w:pPr>
      <w:r>
        <w:t xml:space="preserve">Letcher, B. H., Walker, J. D., O’Donnell, M. J., Whiteley, A. R., Nislow, K. H., &amp; Coombs, J. A. (2018). Three visualization approaches for communicating and exploring passive integrated transponder tag data.</w:t>
      </w:r>
      <w:r>
        <w:t xml:space="preserve"> </w:t>
      </w:r>
      <w:r>
        <w:rPr>
          <w:i/>
        </w:rPr>
        <w:t xml:space="preserve">Fisheries</w:t>
      </w:r>
      <w:r>
        <w:t xml:space="preserve">,</w:t>
      </w:r>
      <w:r>
        <w:t xml:space="preserve"> </w:t>
      </w:r>
      <w:r>
        <w:rPr>
          <w:i/>
        </w:rPr>
        <w:t xml:space="preserve">43</w:t>
      </w:r>
      <w:r>
        <w:t xml:space="preserve">(5), 241–248.</w:t>
      </w:r>
    </w:p>
    <w:bookmarkEnd w:id="70"/>
    <w:bookmarkStart w:id="71"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71"/>
    <w:bookmarkStart w:id="72"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72"/>
    <w:bookmarkStart w:id="73" w:name="ref-lowndes2017"/>
    <w:p>
      <w:pPr>
        <w:pStyle w:val="Bibliography"/>
      </w:pPr>
      <w:r>
        <w:t xml:space="preserve">Lowndes, J. S. S., Best, B. D., Scarborough, C., Afflerbach, J. C., Frazier, M. R., O’Hara, C. C., … Halpern, B. S.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0160.</w:t>
      </w:r>
    </w:p>
    <w:bookmarkEnd w:id="73"/>
    <w:bookmarkStart w:id="74"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74"/>
    <w:bookmarkStart w:id="75"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75"/>
    <w:bookmarkStart w:id="77"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76">
        <w:r>
          <w:rPr>
            <w:rStyle w:val="Hyperlink"/>
          </w:rPr>
          <w:t xml:space="preserve">https://www.R-project.org/</w:t>
        </w:r>
      </w:hyperlink>
    </w:p>
    <w:bookmarkEnd w:id="77"/>
    <w:bookmarkStart w:id="78"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78"/>
    <w:bookmarkStart w:id="80"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79">
        <w:r>
          <w:rPr>
            <w:rStyle w:val="Hyperlink"/>
          </w:rPr>
          <w:t xml:space="preserve">http://www.rstudio.com/</w:t>
        </w:r>
      </w:hyperlink>
    </w:p>
    <w:bookmarkEnd w:id="80"/>
    <w:bookmarkStart w:id="82" w:name="ref-sievert2018"/>
    <w:p>
      <w:pPr>
        <w:pStyle w:val="Bibliography"/>
      </w:pPr>
      <w:r>
        <w:t xml:space="preserve">Sievert, C. (2018).</w:t>
      </w:r>
      <w:r>
        <w:t xml:space="preserve"> </w:t>
      </w:r>
      <w:r>
        <w:rPr>
          <w:i/>
        </w:rPr>
        <w:t xml:space="preserve">Plotly for R</w:t>
      </w:r>
      <w:r>
        <w:t xml:space="preserve">. Retrieved from</w:t>
      </w:r>
      <w:r>
        <w:t xml:space="preserve"> </w:t>
      </w:r>
      <w:hyperlink r:id="rId81">
        <w:r>
          <w:rPr>
            <w:rStyle w:val="Hyperlink"/>
          </w:rPr>
          <w:t xml:space="preserve">https://plotly-book.cpsievert.me</w:t>
        </w:r>
      </w:hyperlink>
    </w:p>
    <w:bookmarkEnd w:id="82"/>
    <w:bookmarkStart w:id="83"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83"/>
    <w:bookmarkStart w:id="84"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84"/>
    <w:bookmarkStart w:id="85" w:name="ref-yeatman2018"/>
    <w:p>
      <w:pPr>
        <w:pStyle w:val="Bibliography"/>
      </w:pPr>
      <w:r>
        <w:t xml:space="preserve">Yeatman, J. D., Richie-Halford, A., Smith, J. K., Keshavan, A., &amp; Rokem, A. (2018). A browser-based tool for visualization and analysis of diffusion mri data.</w:t>
      </w:r>
      <w:r>
        <w:t xml:space="preserve"> </w:t>
      </w:r>
      <w:r>
        <w:rPr>
          <w:i/>
        </w:rPr>
        <w:t xml:space="preserve">Nature Communications</w:t>
      </w:r>
      <w:r>
        <w:t xml:space="preserve">,</w:t>
      </w:r>
      <w:r>
        <w:t xml:space="preserve"> </w:t>
      </w:r>
      <w:r>
        <w:rPr>
          <w:i/>
        </w:rPr>
        <w:t xml:space="preserve">9</w:t>
      </w:r>
      <w:r>
        <w:t xml:space="preserve">(1), 940.</w:t>
      </w:r>
    </w:p>
    <w:bookmarkEnd w:id="85"/>
    <w:bookmarkEnd w:id="8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79"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59" Target="https://doi.org/10.1511/2014.111.460" TargetMode="External" /><Relationship Type="http://schemas.openxmlformats.org/officeDocument/2006/relationships/hyperlink" Id="rId66"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1"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9"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59" Target="https://doi.org/10.1511/2014.111.460" TargetMode="External" /><Relationship Type="http://schemas.openxmlformats.org/officeDocument/2006/relationships/hyperlink" Id="rId66"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1"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2019-09-13T16:13:03Z</dcterms:created>
  <dcterms:modified xsi:type="dcterms:W3CDTF">2019-09-13T16:13:03Z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