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Compact"/>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many</w:t>
      </w:r>
      <w:r>
        <w:t xml:space="preserve"> </w:t>
      </w:r>
      <w:r>
        <w:t xml:space="preserve">stock</w:t>
      </w:r>
      <w:r>
        <w:t xml:space="preserve"> </w:t>
      </w:r>
      <w:r>
        <w:t xml:space="preserve">assessments,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key</w:t>
      </w:r>
      <w:r>
        <w:t xml:space="preserve"> </w:t>
      </w:r>
      <w:r>
        <w:t xml:space="preserve">results</w:t>
      </w:r>
      <w:r>
        <w:t xml:space="preserve"> </w:t>
      </w:r>
      <w:r>
        <w:t xml:space="preserve">to</w:t>
      </w:r>
      <w:r>
        <w:t xml:space="preserve"> </w:t>
      </w:r>
      <w:r>
        <w:t xml:space="preserve">colleagues</w:t>
      </w:r>
      <w:r>
        <w:t xml:space="preserve"> </w:t>
      </w:r>
      <w:r>
        <w:t xml:space="preserve">and</w:t>
      </w:r>
      <w:r>
        <w:t xml:space="preserve"> </w:t>
      </w:r>
      <w:r>
        <w:t xml:space="preserve">stakeholders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While these advances have surely improved the advice provided at stock assessments, it has become more difficult to communicate the basis of this advice in a meaningful way. Visualizations play a critical role in communicating this information to stakeholders</w:t>
      </w:r>
      <w:r>
        <w:t xml:space="preserve"> </w:t>
      </w:r>
      <w:r>
        <w:t xml:space="preserve">(Levontin et al. 2017)</w:t>
      </w:r>
      <w:r>
        <w:t xml:space="preserve">, however, traditional formats (e.g. slides)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w:t>
      </w:r>
    </w:p>
    <w:p>
      <w:pPr>
        <w:pStyle w:val="BodyText"/>
      </w:pPr>
      <w:r>
        <w:t xml:space="preserve">Fisheries scientists are a part of this trend and, as such, there are a growing number of interactive tools being released that facilitate the exploration and communication of fisheries science. For instance, they can be used to disseminate real-time information for dynamic ocean management</w:t>
      </w:r>
      <w:r>
        <w:t xml:space="preserve"> </w:t>
      </w:r>
      <w:r>
        <w:t xml:space="preserve">(Maxwell et al. 2015; Hazen et al. 2018)</w:t>
      </w:r>
      <w:r>
        <w:t xml:space="preserve">, explore hindcasts and projections from various habitat suitability models</w:t>
      </w:r>
      <w:r>
        <w:t xml:space="preserve"> </w:t>
      </w:r>
      <w:r>
        <w:t xml:space="preserve">(McHenry et al. 2019)</w:t>
      </w:r>
      <w:r>
        <w:t xml:space="preserve">, and evaluate different fisheries management approaches</w:t>
      </w:r>
      <w:r>
        <w:t xml:space="preserve"> </w:t>
      </w:r>
      <w:r>
        <w:t xml:space="preserve">(Goethel et al. 2019; Miller et al. 2019)</w:t>
      </w:r>
      <w:r>
        <w:t xml:space="preserve"> </w:t>
      </w:r>
      <w:r>
        <w:t xml:space="preserve">(see Appendix A for more examples). While few of these tools completely replace static modes of presenting scientific information, they allow audiences to explore data and models in ways not amenable to static formats and, in the process, these heuristic improve accessibility and augment communication efforts. These are important tools to take advantage of as we proceed through an age of heightened scientific scrutiny</w:t>
      </w:r>
      <w:r>
        <w:t xml:space="preserve"> </w:t>
      </w:r>
      <w:r>
        <w:t xml:space="preserve">(McInerny et al. 2014)</w:t>
      </w:r>
      <w:r>
        <w:t xml:space="preserve">, and here we aim to promote their use in fisheries science by demonstrating a series of interactive visualization tools built to aid the peer review of stock assessments.</w:t>
      </w:r>
    </w:p>
    <w:p>
      <w:pPr>
        <w:pStyle w:val="BodyText"/>
      </w:pPr>
      <w:r>
        <w:t xml:space="preserve">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 and communicate results from an integrated assessment model. This structure corresponds to two important steps in the stock assessment process: 1) data exploration, and 2) data modeling. In both cases interactive visuals are nested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 See Supplement 1 for a</w:t>
      </w:r>
      <w:r>
        <w:t xml:space="preserve"> </w:t>
      </w:r>
      <w:r>
        <w:t xml:space="preserve">“</w:t>
      </w:r>
      <w:r>
        <w:t xml:space="preserve">getting started</w:t>
      </w:r>
      <w:r>
        <w:t xml:space="preserve">”</w:t>
      </w:r>
      <w:r>
        <w:t xml:space="preserve"> </w:t>
      </w:r>
      <w:r>
        <w:t xml:space="preserve">tutorial that highlights one approach to constructing a dashboard using R; using this as a guide, an R user can start constructing basic dashboards within a day.</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 R package called RStrap</w:t>
      </w:r>
      <w:r>
        <w:t xml:space="preserve"> </w:t>
      </w:r>
      <w:r>
        <w:t xml:space="preserve">(for details on methodology see Smith and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simplifies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w:t>
      </w:r>
      <w:r>
        <w:t xml:space="preserve"> </w:t>
      </w:r>
      <w:r>
        <w:t xml:space="preserve">(i.e. Cadigan 2016; Dwyer et al. 2019)</w:t>
      </w:r>
      <w:r>
        <w:t xml:space="preserve">, however, it was built to serve as an interactive alternative to a standard presentation for communicating the latest results to an audience with a working knowledge of the model.</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 modus operandi of producing static documents and slides. First,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point is not exclusive to the proposed approach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For instance, explorations of the residual plots in the dashboard allowed the authors to quickly identify conflicts between two surveys used in the model. Potential solutions to this problem were then explored by modifying the configuration of the model and these changes were quickly evaluated using a dashboard that is produced in seconds.</w:t>
      </w:r>
    </w:p>
    <w:p>
      <w:pPr>
        <w:pStyle w:val="BodyText"/>
      </w:pPr>
      <w:r>
        <w:t xml:space="preserve">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 concerns that something is hidden.</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from-bespoke-to-general-tools"/>
      <w:r>
        <w:t xml:space="preserve">From bespoke to general tools</w:t>
      </w:r>
      <w:bookmarkEnd w:id="32"/>
    </w:p>
    <w:p>
      <w:pPr>
        <w:pStyle w:val="FirstParagraph"/>
      </w:pPr>
      <w:r>
        <w:t xml:space="preserve">The interactive tools highlighted here were custom built to solve data visualization challenges that are common to many fisheries management organizations. Consequently, there exists the possibility of generalizing these tools to simplify their application to other regions. Region specific data management and modelling approaches, however, will surely complicate matters as tools built for one region may be difficult to apply in another region. Even within our own region, different approaches and needs meant that the code behind NCAM explorer (Supplement 2) required modifications to be applied to another model being developed. Nevertheless, considerable chunks of code could be recycled and, in the process, new features were added to allow the visualization of multiple model configurations within the one dashboard. This effort was one step forward in improving the generality of the tool and another step, which is actively being worked on by a colleague in IFREMER, is to modify the tool to visualize output from SAM, a state-space stock assessment model widely used to assess ICES stocks</w:t>
      </w:r>
      <w:r>
        <w:t xml:space="preserve"> </w:t>
      </w:r>
      <w:r>
        <w:t xml:space="preserve">(Nielsen and Berg 2014)</w:t>
      </w:r>
      <w:r>
        <w:t xml:space="preserve">. Though more time is required to make the dashboard code more general as the developer must ensure the code is robust to a wider range of scenarios, substantial value could be added by making it more widely applicable. Likewise, the concept behind RStrap Explorer and the tagging tool could be applied to other regions and the most efficient approach may be to build upon existing general frameworks</w:t>
      </w:r>
      <w:r>
        <w:t xml:space="preserve"> </w:t>
      </w:r>
      <w:r>
        <w:t xml:space="preserve">(e.g. StoX software; Johnsen et al. 2019)</w:t>
      </w:r>
      <w:r>
        <w:t xml:space="preserve">. These are, of course, early days in the development and application of interactive tools to stock assessment. Because the tools we highlight are themselves general, flexible and accessible, we suspect that bespoke applications will continue to be developed in parallel with more general stock assessment dashboards. Regardless of the approach, one should strive to make the path taken transparent and reproducible.</w:t>
      </w:r>
    </w:p>
    <w:p>
      <w:pPr>
        <w:pStyle w:val="Heading1"/>
      </w:pPr>
      <w:bookmarkStart w:id="33" w:name="towards-open-stock-assessment"/>
      <w:r>
        <w:t xml:space="preserve">Towards open stock assessment</w:t>
      </w:r>
      <w:bookmarkEnd w:id="33"/>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A culture of openness is actively evolving in the field of stock assessment and, at this point, it is not hard to picture a future where it is commonplace for the the full data to document pipeline to be open and accessible. Open resources are actively being developed and used to improve accessibility to all the data, methods and results that feed into stock assessments</w:t>
      </w:r>
      <w:r>
        <w:t xml:space="preserve"> </w:t>
      </w:r>
      <w:r>
        <w:t xml:space="preserve">(e.g. the Transparent Assessment Framework,</w:t>
      </w:r>
      <w:r>
        <w:t xml:space="preserve"> </w:t>
      </w:r>
      <w:hyperlink r:id="rId34">
        <w:r>
          <w:rPr>
            <w:rStyle w:val="Hyperlink"/>
          </w:rPr>
          <w:t xml:space="preserve">https://taf.ices.dk/app/about</w:t>
        </w:r>
      </w:hyperlink>
      <w:r>
        <w:t xml:space="preserve">; Magnusson and Millar 2020)</w:t>
      </w:r>
      <w:r>
        <w:t xml:space="preserve">. Likewise, tools are being developed to facilitate the creation of reproducible advisory documents</w:t>
      </w:r>
      <w:r>
        <w:t xml:space="preserve"> </w:t>
      </w:r>
      <w:r>
        <w:t xml:space="preserve">(e.g. ICES 2018; Anderson et al. 2020; Regular et al. 2020)</w:t>
      </w:r>
      <w:r>
        <w:t xml:space="preserve">, and these documents can be interactive, as is the case for the VISA tool</w:t>
      </w:r>
      <w:r>
        <w:t xml:space="preserve"> </w:t>
      </w:r>
      <w:r>
        <w:t xml:space="preserve">(ICES 2018)</w:t>
      </w:r>
      <w:r>
        <w:t xml:space="preserve">, or they can be supplemented by interactive tools. There is plenty of opportunity for synergies between these initiatives, as most are being developed using R, and all details and decisions can be traceable and accessible using an online repository such as GitHub. We therefore foresee a future where stock assessments become increasingly open and reproducible.</w:t>
      </w:r>
    </w:p>
    <w:p>
      <w:pPr>
        <w:pStyle w:val="BodyText"/>
      </w:pPr>
      <w:r>
        <w:t xml:space="preserve">Providing open access to code and data, however, does not necessarily make a stock assessment more accessible. We believe that interactive tools, such as those presented here and in Appendix A, represent an important a step forward in terms of open science as they make the peer review process more efficient. Although these tools do not reveal the entire data pipeline, a wide range of peers can easily access and review details that may be inaccessible even if the pipeline is open.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5" w:name="conclusions"/>
      <w:r>
        <w:t xml:space="preserve">Conclusions</w:t>
      </w:r>
      <w:bookmarkEnd w:id="35"/>
    </w:p>
    <w:p>
      <w:pPr>
        <w:pStyle w:val="FirstParagraph"/>
      </w:pPr>
      <w:r>
        <w:t xml:space="preserve">Visualizations play an important role in communicating fisheries science to a wide range of stakeholders</w:t>
      </w:r>
      <w:r>
        <w:t xml:space="preserve"> </w:t>
      </w:r>
      <w:r>
        <w:t xml:space="preserve">(Levontin et al. 2017)</w:t>
      </w:r>
      <w:r>
        <w:t xml:space="preserve"> </w:t>
      </w:r>
      <w:r>
        <w:t xml:space="preserve">and here we posit that interactive tools extend their utility 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w:t>
      </w:r>
      <w:r>
        <w:t xml:space="preserve"> </w:t>
      </w:r>
      <w:r>
        <w:t xml:space="preserve">(McInerny et al. 2014)</w:t>
      </w:r>
      <w:r>
        <w:t xml:space="preserve">,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the learning curve was relatively minor because there was no need to learn a new programming language (e.g. JavaScript, CSS, etc.). We can confirm that an R user can construct a basic dashboard within a day, using Supplement 1 as a guide, and a more custom dashboard in a matter of weeks. Moreover, a growing user base means that most programming issues can be readily addressed through simple internet searches. There are also a growing number of exemplars (Appendix A), beyond what we show here, to inspire the development of new interactive tools. Once over the initial learning curve, the time investment may not be much greater than one would invest into a standard presentation.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w:t>
      </w:r>
    </w:p>
    <w:p>
      <w:pPr>
        <w:pStyle w:val="Heading1"/>
      </w:pPr>
      <w:bookmarkStart w:id="36" w:name="acknowledgements"/>
      <w:r>
        <w:t xml:space="preserve">Acknowledgements</w:t>
      </w:r>
      <w:bookmarkEnd w:id="36"/>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pPr>
        <w:pStyle w:val="BodyText"/>
      </w:pPr>
      <w:r>
        <w:t xml:space="preserve">All code used to generate this paper, Supplement 1 (getting started dashboard) and Supplement 2 (NCAM explorer) are available at</w:t>
      </w:r>
      <w:r>
        <w:t xml:space="preserve"> </w:t>
      </w:r>
      <w:hyperlink r:id="rId37">
        <w:r>
          <w:rPr>
            <w:rStyle w:val="Hyperlink"/>
          </w:rPr>
          <w:t xml:space="preserve">https://github.com/PaulRegular/interactive-stock-assessment</w:t>
        </w:r>
      </w:hyperlink>
      <w:r>
        <w:t xml:space="preserve">.</w:t>
      </w:r>
    </w:p>
    <w:p>
      <w:pPr>
        <w:pStyle w:val="Heading1"/>
      </w:pPr>
      <w:bookmarkStart w:id="38" w:name="appendix-a"/>
      <w:r>
        <w:t xml:space="preserve">Appendix A</w:t>
      </w:r>
      <w:bookmarkEnd w:id="38"/>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9">
        <w:r>
          <w:rPr>
            <w:rStyle w:val="Hyperlink"/>
          </w:rPr>
          <w:t xml:space="preserve">https://openscience.cefas.co.uk/ma_tool/</w:t>
        </w:r>
      </w:hyperlink>
      <w:r>
        <w:t xml:space="preserve">); a benthic-focused tool to assist with marine license application and compliance monitoring.</w:t>
      </w:r>
    </w:p>
    <w:p>
      <w:pPr>
        <w:pStyle w:val="Compact"/>
        <w:numPr>
          <w:numId w:val="1001"/>
          <w:ilvl w:val="0"/>
        </w:numPr>
      </w:pPr>
      <w:r>
        <w:t xml:space="preserve">Species Dashboard (</w:t>
      </w:r>
      <w:hyperlink r:id="rId40">
        <w:r>
          <w:rPr>
            <w:rStyle w:val="Hyperlink"/>
          </w:rPr>
          <w:t xml:space="preserve">https://shiny.marine.ie/speciesdash/</w:t>
        </w:r>
      </w:hyperlink>
      <w:r>
        <w:t xml:space="preserve">); a tool for exploring biological fisheries data collected in Irish waters</w:t>
      </w:r>
    </w:p>
    <w:p>
      <w:pPr>
        <w:pStyle w:val="Compact"/>
        <w:numPr>
          <w:numId w:val="1001"/>
          <w:ilvl w:val="0"/>
        </w:numPr>
      </w:pPr>
      <w:r>
        <w:t xml:space="preserve">The Stock Book (</w:t>
      </w:r>
      <w:hyperlink r:id="rId41">
        <w:r>
          <w:rPr>
            <w:rStyle w:val="Hyperlink"/>
          </w:rPr>
          <w:t xml:space="preserve">https://shiny.marine.ie/stockbook/</w:t>
        </w:r>
      </w:hyperlink>
      <w:r>
        <w:t xml:space="preserve">); a tool for accessing up-to-date information on the status of fish stocks in Irish waters.</w:t>
      </w:r>
    </w:p>
    <w:p>
      <w:pPr>
        <w:pStyle w:val="Compact"/>
        <w:numPr>
          <w:numId w:val="1001"/>
          <w:ilvl w:val="0"/>
        </w:numPr>
      </w:pPr>
      <w:r>
        <w:t xml:space="preserve">Data-Limited Fisheries Toolkit demo (</w:t>
      </w:r>
      <w:hyperlink r:id="rId42">
        <w:r>
          <w:rPr>
            <w:rStyle w:val="Hyperlink"/>
          </w:rPr>
          <w:t xml:space="preserve">https://www.datalimitedtoolkit.org/demo</w:t>
        </w:r>
      </w:hyperlink>
      <w:r>
        <w:t xml:space="preserve">); an application for demonstrating the key features of the management strategy evaluation toolkit.</w:t>
      </w:r>
    </w:p>
    <w:p>
      <w:pPr>
        <w:pStyle w:val="Compact"/>
        <w:numPr>
          <w:numId w:val="1001"/>
          <w:ilvl w:val="0"/>
        </w:numPr>
      </w:pPr>
      <w:r>
        <w:t xml:space="preserve">Toy Tuna MSE application (</w:t>
      </w:r>
      <w:hyperlink r:id="rId43">
        <w:r>
          <w:rPr>
            <w:rStyle w:val="Hyperlink"/>
          </w:rPr>
          <w:t xml:space="preserve">https://puntapps.shinyapps.io/tunamse/</w:t>
        </w:r>
      </w:hyperlink>
      <w:r>
        <w:t xml:space="preserve">); a toy MSE example built to allow users to enter various management procedures and assess their performance.</w:t>
      </w:r>
    </w:p>
    <w:p>
      <w:pPr>
        <w:pStyle w:val="Compact"/>
        <w:numPr>
          <w:numId w:val="1001"/>
          <w:ilvl w:val="0"/>
        </w:numPr>
      </w:pPr>
      <w:r>
        <w:t xml:space="preserve">Exploring Groundfish in an Ecosystem Context (</w:t>
      </w:r>
      <w:hyperlink r:id="rId44">
        <w:r>
          <w:rPr>
            <w:rStyle w:val="Hyperlink"/>
          </w:rPr>
          <w:t xml:space="preserve">https://incorporatingecosystemapproach.shinyapps.io/indiapp/</w:t>
        </w:r>
      </w:hyperlink>
      <w:r>
        <w:t xml:space="preserve">); a tool accessing results from an analysis exploring links between stock indices and ecosystem trends.</w:t>
      </w:r>
    </w:p>
    <w:p>
      <w:pPr>
        <w:pStyle w:val="Compact"/>
        <w:numPr>
          <w:numId w:val="1001"/>
          <w:ilvl w:val="0"/>
        </w:numPr>
      </w:pPr>
      <w:r>
        <w:t xml:space="preserve">EcoCast Explorer (</w:t>
      </w:r>
      <w:hyperlink r:id="rId45">
        <w:r>
          <w:rPr>
            <w:rStyle w:val="Hyperlink"/>
          </w:rPr>
          <w:t xml:space="preserve">https://coastwatch.pfeg.noaa.gov/ecocast/explorer.html</w:t>
        </w:r>
      </w:hyperlink>
      <w:r>
        <w:t xml:space="preserve">); an application for displaying results from a dynamic ocean management tool focused on bycatch avoidance</w:t>
      </w:r>
      <w:r>
        <w:t xml:space="preserve"> </w:t>
      </w:r>
      <w:r>
        <w:t xml:space="preserve">(see Hazen et al. 2018 for more detail)</w:t>
      </w:r>
      <w:r>
        <w:t xml:space="preserve">.</w:t>
      </w:r>
    </w:p>
    <w:p>
      <w:pPr>
        <w:pStyle w:val="Compact"/>
        <w:numPr>
          <w:numId w:val="1001"/>
          <w:ilvl w:val="0"/>
        </w:numPr>
      </w:pPr>
      <w:r>
        <w:t xml:space="preserve">B-VBGM! Bayesian Von Bertalanffy Growth Model tool (</w:t>
      </w:r>
      <w:hyperlink r:id="rId46">
        <w:r>
          <w:rPr>
            <w:rStyle w:val="Hyperlink"/>
          </w:rPr>
          <w:t xml:space="preserve">https://fishecology.shinyapps.io/B-VBGM/</w:t>
        </w:r>
      </w:hyperlink>
      <w:r>
        <w:t xml:space="preserve">); a supplement Catalán et al. </w:t>
      </w:r>
      <w:r>
        <w:t xml:space="preserve">(2018)</w:t>
      </w:r>
      <w:r>
        <w:t xml:space="preserve"> </w:t>
      </w:r>
      <w:r>
        <w:t xml:space="preserve">that facilitates the exploration of the model described in the paper.</w:t>
      </w:r>
    </w:p>
    <w:p>
      <w:pPr>
        <w:pStyle w:val="Compact"/>
        <w:numPr>
          <w:numId w:val="1001"/>
          <w:ilvl w:val="0"/>
        </w:numPr>
      </w:pPr>
      <w:r>
        <w:t xml:space="preserve">Beyond Temperature tool (</w:t>
      </w:r>
      <w:hyperlink r:id="rId47">
        <w:r>
          <w:rPr>
            <w:rStyle w:val="Hyperlink"/>
          </w:rPr>
          <w:t xml:space="preserve">https://heatherwelch.shinyapps.io/beyond_temperature/</w:t>
        </w:r>
      </w:hyperlink>
      <w:r>
        <w:t xml:space="preserve">); a supplement to McHenry et al. </w:t>
      </w:r>
      <w:r>
        <w:t xml:space="preserve">(2019)</w:t>
      </w:r>
      <w:r>
        <w:t xml:space="preserve"> </w:t>
      </w:r>
      <w:r>
        <w:t xml:space="preserve">that allows the exploration of habitat suitability hindcasts and projections by species and model type.</w:t>
      </w:r>
    </w:p>
    <w:p>
      <w:pPr>
        <w:pStyle w:val="Compact"/>
        <w:numPr>
          <w:numId w:val="1001"/>
          <w:ilvl w:val="0"/>
        </w:numPr>
      </w:pPr>
      <w:r>
        <w:t xml:space="preserve">BRSApp (</w:t>
      </w:r>
      <w:hyperlink r:id="rId48">
        <w:r>
          <w:rPr>
            <w:rStyle w:val="Hyperlink"/>
          </w:rPr>
          <w:t xml:space="preserve">https://catalinagomez.shinyapps.io/BRSApp/</w:t>
        </w:r>
      </w:hyperlink>
      <w:r>
        <w:t xml:space="preserve">); a supplement to Gomez et al. </w:t>
      </w:r>
      <w:r>
        <w:t xml:space="preserve">(2016)</w:t>
      </w:r>
      <w:r>
        <w:t xml:space="preserve"> </w:t>
      </w:r>
      <w:r>
        <w:t xml:space="preserve">that allows the exploration of behavioural response severity scores of marine mammals to noise.</w:t>
      </w:r>
    </w:p>
    <w:p>
      <w:pPr>
        <w:pStyle w:val="Compact"/>
        <w:numPr>
          <w:numId w:val="1001"/>
          <w:ilvl w:val="0"/>
        </w:numPr>
      </w:pPr>
      <w:r>
        <w:t xml:space="preserve">VISA tool (e.g. </w:t>
      </w:r>
      <w:hyperlink r:id="rId49">
        <w:r>
          <w:rPr>
            <w:rStyle w:val="Hyperlink"/>
          </w:rPr>
          <w:t xml:space="preserve">https://ices-tools-dev.github.io/VISA_tool/hke.27.3a46-8abd.html#ices_advice_2018</w:t>
        </w:r>
      </w:hyperlink>
      <w:r>
        <w:t xml:space="preserve">); an alternative to pdf files for displaying and exploring up-to-date ICES advice</w:t>
      </w:r>
      <w:r>
        <w:t xml:space="preserve"> </w:t>
      </w:r>
      <w:r>
        <w:t xml:space="preserve">(developed to meet an “EU request on dissemination of ICES advice beyond pdf files”; ICES 2018)</w:t>
      </w:r>
      <w:r>
        <w:t xml:space="preserve">.</w:t>
      </w:r>
    </w:p>
    <w:p>
      <w:pPr>
        <w:pStyle w:val="Heading1"/>
      </w:pPr>
      <w:bookmarkStart w:id="50" w:name="references"/>
      <w:r>
        <w:t xml:space="preserve">References</w:t>
      </w:r>
      <w:bookmarkEnd w:id="50"/>
    </w:p>
    <w:bookmarkStart w:id="118" w:name="refs"/>
    <w:bookmarkStart w:id="52" w:name="ref-allaire2017"/>
    <w:p>
      <w:pPr>
        <w:pStyle w:val="Bibliography"/>
      </w:pPr>
      <w:r>
        <w:t xml:space="preserve">Allaire, J. 2017. Flexdashboard: R markdown format for flexible dashboards. Available from</w:t>
      </w:r>
      <w:r>
        <w:t xml:space="preserve"> </w:t>
      </w:r>
      <w:hyperlink r:id="rId51">
        <w:r>
          <w:rPr>
            <w:rStyle w:val="Hyperlink"/>
          </w:rPr>
          <w:t xml:space="preserve">https://CRAN.R-project.org/package=flexdashboard</w:t>
        </w:r>
      </w:hyperlink>
      <w:r>
        <w:t xml:space="preserve">.</w:t>
      </w:r>
    </w:p>
    <w:bookmarkEnd w:id="52"/>
    <w:bookmarkStart w:id="54" w:name="ref-allaire2018"/>
    <w:p>
      <w:pPr>
        <w:pStyle w:val="Bibliography"/>
      </w:pPr>
      <w:r>
        <w:t xml:space="preserve">Allaire, J., Horner, J., Xie, Y., Marti, V., and Porte, N. 2018. Markdown: ’Markdown’ rendering for r. Available from</w:t>
      </w:r>
      <w:r>
        <w:t xml:space="preserve"> </w:t>
      </w:r>
      <w:hyperlink r:id="rId53">
        <w:r>
          <w:rPr>
            <w:rStyle w:val="Hyperlink"/>
          </w:rPr>
          <w:t xml:space="preserve">https://CRAN.R-project.org/package=markdown</w:t>
        </w:r>
      </w:hyperlink>
      <w:r>
        <w:t xml:space="preserve">.</w:t>
      </w:r>
    </w:p>
    <w:bookmarkEnd w:id="54"/>
    <w:bookmarkStart w:id="56" w:name="ref-anderson2020"/>
    <w:p>
      <w:pPr>
        <w:pStyle w:val="Bibliography"/>
      </w:pPr>
      <w:r>
        <w:t xml:space="preserve">Anderson, S.C., Grandin, C., Edwards, A.M., Grinnell, M.H., Ricard, D., and Haigh, R. 2020. csasdown: Reproducible CSAS reports with bookdown. Available from</w:t>
      </w:r>
      <w:r>
        <w:t xml:space="preserve"> </w:t>
      </w:r>
      <w:hyperlink r:id="rId55">
        <w:r>
          <w:rPr>
            <w:rStyle w:val="Hyperlink"/>
          </w:rPr>
          <w:t xml:space="preserve">https://github.com/pbs-assess/csasdown</w:t>
        </w:r>
      </w:hyperlink>
      <w:r>
        <w:t xml:space="preserve">.</w:t>
      </w:r>
    </w:p>
    <w:bookmarkEnd w:id="56"/>
    <w:bookmarkStart w:id="57"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57"/>
    <w:bookmarkStart w:id="58"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58"/>
    <w:bookmarkStart w:id="59" w:name="ref-catalan2018"/>
    <w:p>
      <w:pPr>
        <w:pStyle w:val="Bibliography"/>
      </w:pPr>
      <w:r>
        <w:t xml:space="preserve">Catalán, I.A., Alós, J., Dı́az-Gil, C., Pérez-Mayol, S., Basterretxea, G., Morales-Nin, B., and Palmer, M. 2018. Potential fishing-related effects on fish life history revealed by otolith microchemistry. Fisheries Research</w:t>
      </w:r>
      <w:r>
        <w:t xml:space="preserve"> </w:t>
      </w:r>
      <w:r>
        <w:rPr>
          <w:b/>
        </w:rPr>
        <w:t xml:space="preserve">199</w:t>
      </w:r>
      <w:r>
        <w:t xml:space="preserve">: 186–195. Elsevier.</w:t>
      </w:r>
    </w:p>
    <w:bookmarkEnd w:id="59"/>
    <w:bookmarkStart w:id="61" w:name="ref-chang2018b"/>
    <w:p>
      <w:pPr>
        <w:pStyle w:val="Bibliography"/>
      </w:pPr>
      <w:r>
        <w:t xml:space="preserve">Chang, W., and Borges Ribeiro, B. 2018. Shinydashboard: Create dashboards with ’shiny’. Available from</w:t>
      </w:r>
      <w:r>
        <w:t xml:space="preserve"> </w:t>
      </w:r>
      <w:hyperlink r:id="rId60">
        <w:r>
          <w:rPr>
            <w:rStyle w:val="Hyperlink"/>
          </w:rPr>
          <w:t xml:space="preserve">https://CRAN.R-project.org/package=shinydashboard</w:t>
        </w:r>
      </w:hyperlink>
      <w:r>
        <w:t xml:space="preserve">.</w:t>
      </w:r>
    </w:p>
    <w:bookmarkEnd w:id="61"/>
    <w:bookmarkStart w:id="63" w:name="ref-chang2018a"/>
    <w:p>
      <w:pPr>
        <w:pStyle w:val="Bibliography"/>
      </w:pPr>
      <w:r>
        <w:t xml:space="preserve">Chang, W., Cheng, J., Allaire, J., Xie, Y., and McPherson, J. 2018. Shiny: Web application framework for r. Available from</w:t>
      </w:r>
      <w:r>
        <w:t xml:space="preserve"> </w:t>
      </w:r>
      <w:hyperlink r:id="rId62">
        <w:r>
          <w:rPr>
            <w:rStyle w:val="Hyperlink"/>
          </w:rPr>
          <w:t xml:space="preserve">https://CRAN.R-project.org/package=shiny</w:t>
        </w:r>
      </w:hyperlink>
      <w:r>
        <w:t xml:space="preserve">.</w:t>
      </w:r>
    </w:p>
    <w:bookmarkEnd w:id="63"/>
    <w:bookmarkStart w:id="65" w:name="ref-cheng2016"/>
    <w:p>
      <w:pPr>
        <w:pStyle w:val="Bibliography"/>
      </w:pPr>
      <w:r>
        <w:t xml:space="preserve">Cheng, J. 2016. Crosstalk: Inter-widget interactivity for html widgets. Available from</w:t>
      </w:r>
      <w:r>
        <w:t xml:space="preserve"> </w:t>
      </w:r>
      <w:hyperlink r:id="rId64">
        <w:r>
          <w:rPr>
            <w:rStyle w:val="Hyperlink"/>
          </w:rPr>
          <w:t xml:space="preserve">https://CRAN.R-project.org/package=crosstalk</w:t>
        </w:r>
      </w:hyperlink>
      <w:r>
        <w:t xml:space="preserve">.</w:t>
      </w:r>
    </w:p>
    <w:bookmarkEnd w:id="65"/>
    <w:bookmarkStart w:id="67" w:name="ref-cheng2018"/>
    <w:p>
      <w:pPr>
        <w:pStyle w:val="Bibliography"/>
      </w:pPr>
      <w:r>
        <w:t xml:space="preserve">Cheng, J., Karambelkar, B., and Xie, Y. 2018. Leaflet: Create interactive web maps with the javascript ’leaflet’ library. Available from</w:t>
      </w:r>
      <w:r>
        <w:t xml:space="preserve"> </w:t>
      </w:r>
      <w:hyperlink r:id="rId66">
        <w:r>
          <w:rPr>
            <w:rStyle w:val="Hyperlink"/>
          </w:rPr>
          <w:t xml:space="preserve">https://CRAN.R-project.org/package=leaflet</w:t>
        </w:r>
      </w:hyperlink>
      <w:r>
        <w:t xml:space="preserve">.</w:t>
      </w:r>
    </w:p>
    <w:bookmarkEnd w:id="67"/>
    <w:bookmarkStart w:id="68"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68"/>
    <w:bookmarkStart w:id="69"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69"/>
    <w:bookmarkStart w:id="70"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70"/>
    <w:bookmarkStart w:id="71"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71"/>
    <w:bookmarkStart w:id="73"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72">
        <w:r>
          <w:rPr>
            <w:rStyle w:val="Hyperlink"/>
          </w:rPr>
          <w:t xml:space="preserve">10.1511/2014.111.460</w:t>
        </w:r>
      </w:hyperlink>
      <w:r>
        <w:t xml:space="preserve">.</w:t>
      </w:r>
    </w:p>
    <w:bookmarkEnd w:id="73"/>
    <w:bookmarkStart w:id="74" w:name="ref-goethel2019"/>
    <w:p>
      <w:pPr>
        <w:pStyle w:val="Bibliography"/>
      </w:pPr>
      <w:r>
        <w:t xml:space="preserve">Goethel, D.R., Lucey, S.M., Berger, A.M., Gaichas, S.K., Karp, M.A., Lynch, P.D., Walter III, J.F., Deroba, J.J., Miller, S., and Wilberg, M.J. 2019. Closing the feedback loop: On stakeholder participation in management strategy evaluation. Canadian Journal of Fisheries and Aquatic Sciences</w:t>
      </w:r>
      <w:r>
        <w:t xml:space="preserve"> </w:t>
      </w:r>
      <w:r>
        <w:rPr>
          <w:b/>
        </w:rPr>
        <w:t xml:space="preserve">76</w:t>
      </w:r>
      <w:r>
        <w:t xml:space="preserve">(10): 1895–1913. NRC Research Press.</w:t>
      </w:r>
    </w:p>
    <w:bookmarkEnd w:id="74"/>
    <w:bookmarkStart w:id="75" w:name="ref-gomez2016"/>
    <w:p>
      <w:pPr>
        <w:pStyle w:val="Bibliography"/>
      </w:pPr>
      <w:r>
        <w:t xml:space="preserve">Gomez, C., Lawson, J., Wright, A.J., Buren, A., Tollit, D., and Lesage, V. 2016. A systematic review on the behavioural responses of wild marine mammals to noise: The disparity between science and policy. Canadian Journal of Zoology</w:t>
      </w:r>
      <w:r>
        <w:t xml:space="preserve"> </w:t>
      </w:r>
      <w:r>
        <w:rPr>
          <w:b/>
        </w:rPr>
        <w:t xml:space="preserve">94</w:t>
      </w:r>
      <w:r>
        <w:t xml:space="preserve">(12): 801–819. NRC Research Press.</w:t>
      </w:r>
    </w:p>
    <w:bookmarkEnd w:id="75"/>
    <w:bookmarkStart w:id="76"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76"/>
    <w:bookmarkStart w:id="77"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77"/>
    <w:bookmarkStart w:id="78" w:name="ref-hazen2018"/>
    <w:p>
      <w:pPr>
        <w:pStyle w:val="Bibliography"/>
      </w:pPr>
      <w:r>
        <w:t xml:space="preserve">Hazen, E.L., Scales, K.L., Maxwell, S.M., Briscoe, D.K., Welch, H., Bograd, S.J., Bailey, H., Benson, S.R., Eguchi, T., Dewar, H., and others. 2018. A dynamic ocean management tool to reduce bycatch and support sustainable fisheries. Science advances</w:t>
      </w:r>
      <w:r>
        <w:t xml:space="preserve"> </w:t>
      </w:r>
      <w:r>
        <w:rPr>
          <w:b/>
        </w:rPr>
        <w:t xml:space="preserve">4</w:t>
      </w:r>
      <w:r>
        <w:t xml:space="preserve">(5): eaar3001. American Association for the Advancement of Science.</w:t>
      </w:r>
    </w:p>
    <w:bookmarkEnd w:id="78"/>
    <w:bookmarkStart w:id="79" w:name="ref-hilborn1992"/>
    <w:p>
      <w:pPr>
        <w:pStyle w:val="Bibliography"/>
      </w:pPr>
      <w:r>
        <w:t xml:space="preserve">Hilborn, R., and Walters, C.J. 1992. Quantitative fisheries stock assessment: Choice, dynamics and uncertainty. Chapman; Hall.</w:t>
      </w:r>
    </w:p>
    <w:bookmarkEnd w:id="79"/>
    <w:bookmarkStart w:id="80" w:name="ref-ices2018"/>
    <w:p>
      <w:pPr>
        <w:pStyle w:val="Bibliography"/>
      </w:pPr>
      <w:r>
        <w:t xml:space="preserve">ICES. 2018. EU request on dissemination of ICES advice beyond pdf files.</w:t>
      </w:r>
      <w:r>
        <w:t xml:space="preserve"> </w:t>
      </w:r>
      <w:r>
        <w:rPr>
          <w:b/>
        </w:rPr>
        <w:t xml:space="preserve">DOI: 10.17895/ices.pub.4657</w:t>
      </w:r>
      <w:r>
        <w:t xml:space="preserve">.</w:t>
      </w:r>
    </w:p>
    <w:bookmarkEnd w:id="80"/>
    <w:bookmarkStart w:id="81" w:name="ref-johnsen2019"/>
    <w:p>
      <w:pPr>
        <w:pStyle w:val="Bibliography"/>
      </w:pPr>
      <w:r>
        <w:t xml:space="preserve">Johnsen, E., Totland, A., Skålevik, Å., Holmin, A.J., Dingsør, G.E., Fuglebakk, E., and Handegard, N.O. 2019. StoX: An open source software for marine survey analyses. Methods in Ecology and Evolution</w:t>
      </w:r>
      <w:r>
        <w:t xml:space="preserve"> </w:t>
      </w:r>
      <w:r>
        <w:rPr>
          <w:b/>
        </w:rPr>
        <w:t xml:space="preserve">10</w:t>
      </w:r>
      <w:r>
        <w:t xml:space="preserve">(9): 1523–1528. Wiley Online Library.</w:t>
      </w:r>
    </w:p>
    <w:bookmarkEnd w:id="81"/>
    <w:bookmarkStart w:id="82"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82"/>
    <w:bookmarkStart w:id="83"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83"/>
    <w:bookmarkStart w:id="85"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84">
        <w:r>
          <w:rPr>
            <w:rStyle w:val="Hyperlink"/>
          </w:rPr>
          <w:t xml:space="preserve">10.18637/jss.v070.i05</w:t>
        </w:r>
      </w:hyperlink>
      <w:r>
        <w:t xml:space="preserve">.</w:t>
      </w:r>
    </w:p>
    <w:bookmarkEnd w:id="85"/>
    <w:bookmarkStart w:id="86"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86"/>
    <w:bookmarkStart w:id="87"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87"/>
    <w:bookmarkStart w:id="88"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88"/>
    <w:bookmarkStart w:id="89" w:name="ref-levontin2017"/>
    <w:p>
      <w:pPr>
        <w:pStyle w:val="Bibliography"/>
      </w:pPr>
      <w:r>
        <w:t xml:space="preserve">Levontin, P., Baranowski, P., Leach, A.W., Bailey, A., Mumford, J.D., Quetglas, A., and Kell, L.T. 2017. On the role of visualisation in fisheries management. Marine Policy</w:t>
      </w:r>
      <w:r>
        <w:t xml:space="preserve"> </w:t>
      </w:r>
      <w:r>
        <w:rPr>
          <w:b/>
        </w:rPr>
        <w:t xml:space="preserve">78</w:t>
      </w:r>
      <w:r>
        <w:t xml:space="preserve">: 114–121. Elsevier.</w:t>
      </w:r>
    </w:p>
    <w:bookmarkEnd w:id="89"/>
    <w:bookmarkStart w:id="90"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90"/>
    <w:bookmarkStart w:id="91"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91"/>
    <w:bookmarkStart w:id="92"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92"/>
    <w:bookmarkStart w:id="94" w:name="ref-magnusson2020"/>
    <w:p>
      <w:pPr>
        <w:pStyle w:val="Bibliography"/>
      </w:pPr>
      <w:r>
        <w:t xml:space="preserve">Magnusson, A., and Millar, C. 2020. IcesTAF: Functions to support the ices transparent assessment framework. Available from</w:t>
      </w:r>
      <w:r>
        <w:t xml:space="preserve"> </w:t>
      </w:r>
      <w:hyperlink r:id="rId93">
        <w:r>
          <w:rPr>
            <w:rStyle w:val="Hyperlink"/>
          </w:rPr>
          <w:t xml:space="preserve">https://CRAN.R-project.org/package=icesTAF</w:t>
        </w:r>
      </w:hyperlink>
      <w:r>
        <w:t xml:space="preserve">.</w:t>
      </w:r>
    </w:p>
    <w:bookmarkEnd w:id="94"/>
    <w:bookmarkStart w:id="95"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95"/>
    <w:bookmarkStart w:id="96" w:name="ref-maxwell2015"/>
    <w:p>
      <w:pPr>
        <w:pStyle w:val="Bibliography"/>
      </w:pPr>
      <w:r>
        <w:t xml:space="preserve">Maxwell, S.M., Hazen, E.L., Lewison, R.L., Dunn, D.C., Bailey, H., Bograd, S.J., Briscoe, D.K., Fossette, S., Hobday, A.J., Bennett, M., and others. 2015. Dynamic ocean management: Defining and conceptualizing real-time management of the ocean. Marine Policy</w:t>
      </w:r>
      <w:r>
        <w:t xml:space="preserve"> </w:t>
      </w:r>
      <w:r>
        <w:rPr>
          <w:b/>
        </w:rPr>
        <w:t xml:space="preserve">58</w:t>
      </w:r>
      <w:r>
        <w:t xml:space="preserve">: 42–50. Elsevier.</w:t>
      </w:r>
    </w:p>
    <w:bookmarkEnd w:id="96"/>
    <w:bookmarkStart w:id="97" w:name="ref-mchenry2019"/>
    <w:p>
      <w:pPr>
        <w:pStyle w:val="Bibliography"/>
      </w:pPr>
      <w:r>
        <w:t xml:space="preserve">McHenry, J., Welch, H., Lester, S.E., and Saba, V. 2019. Projecting marine species range shifts from only temperature can mask climate vulnerability. Global change biology</w:t>
      </w:r>
      <w:r>
        <w:t xml:space="preserve"> </w:t>
      </w:r>
      <w:r>
        <w:rPr>
          <w:b/>
        </w:rPr>
        <w:t xml:space="preserve">25</w:t>
      </w:r>
      <w:r>
        <w:t xml:space="preserve">(12): 4208–4221. Wiley Online Library.</w:t>
      </w:r>
    </w:p>
    <w:bookmarkEnd w:id="97"/>
    <w:bookmarkStart w:id="98" w:name="ref-mcinerny2014"/>
    <w:p>
      <w:pPr>
        <w:pStyle w:val="Bibliography"/>
      </w:pPr>
      <w:r>
        <w:t xml:space="preserve">McInerny, G.J., Chen, M., Freeman, R., Gavaghan, D., Meyer, M., Rowland, F., Spiegelhalter, D.J., Stefaner, M., Tessarolo, G., and Hortal, J. 2014. Information visualisation for science and policy: Engaging users and avoiding bias. Trends in ecology &amp; evolution</w:t>
      </w:r>
      <w:r>
        <w:t xml:space="preserve"> </w:t>
      </w:r>
      <w:r>
        <w:rPr>
          <w:b/>
        </w:rPr>
        <w:t xml:space="preserve">29</w:t>
      </w:r>
      <w:r>
        <w:t xml:space="preserve">(3): 148–157. Elsevier.</w:t>
      </w:r>
    </w:p>
    <w:bookmarkEnd w:id="98"/>
    <w:bookmarkStart w:id="99" w:name="ref-miller2019"/>
    <w:p>
      <w:pPr>
        <w:pStyle w:val="Bibliography"/>
      </w:pPr>
      <w:r>
        <w:t xml:space="preserve">Miller, S.K., Anganuzzi, A., Butterworth, D.S., Davies, C.R., Donovan, G.P., Nickson, A., Rademeyer, R.A., and Restrepo, V. 2019. Improving communication: The key to more effective mse processes. Canadian Journal of Fisheries and Aquatic Sciences</w:t>
      </w:r>
      <w:r>
        <w:t xml:space="preserve"> </w:t>
      </w:r>
      <w:r>
        <w:rPr>
          <w:b/>
        </w:rPr>
        <w:t xml:space="preserve">76</w:t>
      </w:r>
      <w:r>
        <w:t xml:space="preserve">(4): 643–656. NRC Research Press.</w:t>
      </w:r>
    </w:p>
    <w:bookmarkEnd w:id="99"/>
    <w:bookmarkStart w:id="100" w:name="ref-nielsen2014"/>
    <w:p>
      <w:pPr>
        <w:pStyle w:val="Bibliography"/>
      </w:pPr>
      <w:r>
        <w:t xml:space="preserve">Nielsen, A., and Berg, C.W. 2014. Estimation of time-varying selectivity in stock assessments using state-space models. Fisheries Research</w:t>
      </w:r>
      <w:r>
        <w:t xml:space="preserve"> </w:t>
      </w:r>
      <w:r>
        <w:rPr>
          <w:b/>
        </w:rPr>
        <w:t xml:space="preserve">158</w:t>
      </w:r>
      <w:r>
        <w:t xml:space="preserve">: 96–101. Elsevier.</w:t>
      </w:r>
    </w:p>
    <w:bookmarkEnd w:id="100"/>
    <w:bookmarkStart w:id="101"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101"/>
    <w:bookmarkStart w:id="102"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102"/>
    <w:bookmarkStart w:id="104" w:name="ref-R"/>
    <w:p>
      <w:pPr>
        <w:pStyle w:val="Bibliography"/>
      </w:pPr>
      <w:r>
        <w:t xml:space="preserve">R Core Team. 2017. R: A language and environment for statistical computing. R Foundation for Statistical Computing, Vienna, Austria. Available from</w:t>
      </w:r>
      <w:r>
        <w:t xml:space="preserve"> </w:t>
      </w:r>
      <w:hyperlink r:id="rId103">
        <w:r>
          <w:rPr>
            <w:rStyle w:val="Hyperlink"/>
          </w:rPr>
          <w:t xml:space="preserve">https://www.R-project.org/</w:t>
        </w:r>
      </w:hyperlink>
      <w:r>
        <w:t xml:space="preserve">.</w:t>
      </w:r>
    </w:p>
    <w:bookmarkEnd w:id="104"/>
    <w:bookmarkStart w:id="106" w:name="ref-regular2020"/>
    <w:p>
      <w:pPr>
        <w:pStyle w:val="Bibliography"/>
      </w:pPr>
      <w:r>
        <w:t xml:space="preserve">Regular, P., Rodgers, B., Wheeland, L., Anderson, S., Grandin, C., Ismay, C., and Solomon, N. 2020. NAFOdown: An R markdown template for producing NAFO scientific council documents. Available from</w:t>
      </w:r>
      <w:r>
        <w:t xml:space="preserve"> </w:t>
      </w:r>
      <w:hyperlink r:id="rId105">
        <w:r>
          <w:rPr>
            <w:rStyle w:val="Hyperlink"/>
          </w:rPr>
          <w:t xml:space="preserve">https://github.com/nafc-assess/NAFOdown</w:t>
        </w:r>
      </w:hyperlink>
      <w:r>
        <w:t xml:space="preserve">.</w:t>
      </w:r>
    </w:p>
    <w:bookmarkEnd w:id="106"/>
    <w:bookmarkStart w:id="107"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107"/>
    <w:bookmarkStart w:id="109" w:name="ref-Rstudio"/>
    <w:p>
      <w:pPr>
        <w:pStyle w:val="Bibliography"/>
      </w:pPr>
      <w:r>
        <w:t xml:space="preserve">RStudio Team. 2015. RStudio: Integrated development environment for r. RStudio, Inc., Boston, MA. Available from</w:t>
      </w:r>
      <w:r>
        <w:t xml:space="preserve"> </w:t>
      </w:r>
      <w:hyperlink r:id="rId108">
        <w:r>
          <w:rPr>
            <w:rStyle w:val="Hyperlink"/>
          </w:rPr>
          <w:t xml:space="preserve">http://www.rstudio.com/</w:t>
        </w:r>
      </w:hyperlink>
      <w:r>
        <w:t xml:space="preserve">.</w:t>
      </w:r>
    </w:p>
    <w:bookmarkEnd w:id="109"/>
    <w:bookmarkStart w:id="111" w:name="ref-sievert2018"/>
    <w:p>
      <w:pPr>
        <w:pStyle w:val="Bibliography"/>
      </w:pPr>
      <w:r>
        <w:t xml:space="preserve">Sievert, C. 2018. Plotly for R. Available from</w:t>
      </w:r>
      <w:r>
        <w:t xml:space="preserve"> </w:t>
      </w:r>
      <w:hyperlink r:id="rId110">
        <w:r>
          <w:rPr>
            <w:rStyle w:val="Hyperlink"/>
          </w:rPr>
          <w:t xml:space="preserve">https://plotly-book.cpsievert.me</w:t>
        </w:r>
      </w:hyperlink>
      <w:r>
        <w:t xml:space="preserve">.</w:t>
      </w:r>
    </w:p>
    <w:bookmarkEnd w:id="111"/>
    <w:bookmarkStart w:id="112"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112"/>
    <w:bookmarkStart w:id="113"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113"/>
    <w:bookmarkStart w:id="115" w:name="ref-tukey1977"/>
    <w:p>
      <w:pPr>
        <w:pStyle w:val="Bibliography"/>
      </w:pPr>
      <w:r>
        <w:t xml:space="preserve">Tukey, J. 1977. Exploratory data analysis. Addison-Wesley Publishing Company. Available from</w:t>
      </w:r>
      <w:r>
        <w:t xml:space="preserve"> </w:t>
      </w:r>
      <w:hyperlink r:id="rId114">
        <w:r>
          <w:rPr>
            <w:rStyle w:val="Hyperlink"/>
          </w:rPr>
          <w:t xml:space="preserve">https://books.google.ca/books?id=UT9dAAAAIAAJ</w:t>
        </w:r>
      </w:hyperlink>
      <w:r>
        <w:t xml:space="preserve">.</w:t>
      </w:r>
    </w:p>
    <w:bookmarkEnd w:id="115"/>
    <w:bookmarkStart w:id="116"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116"/>
    <w:bookmarkStart w:id="117"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117"/>
    <w:bookmarkEnd w:id="118"/>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108" Target="http://www.rstudio.com/" TargetMode="External" /><Relationship Type="http://schemas.openxmlformats.org/officeDocument/2006/relationships/hyperlink" Id="rId64"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3" Target="https://CRAN.R-project.org/package=icesTAF" TargetMode="External" /><Relationship Type="http://schemas.openxmlformats.org/officeDocument/2006/relationships/hyperlink" Id="rId66" Target="https://CRAN.R-project.org/package=leaflet" TargetMode="External" /><Relationship Type="http://schemas.openxmlformats.org/officeDocument/2006/relationships/hyperlink" Id="rId53" Target="https://CRAN.R-project.org/package=markdown" TargetMode="External" /><Relationship Type="http://schemas.openxmlformats.org/officeDocument/2006/relationships/hyperlink" Id="rId62" Target="https://CRAN.R-project.org/package=shiny" TargetMode="External" /><Relationship Type="http://schemas.openxmlformats.org/officeDocument/2006/relationships/hyperlink" Id="rId60" Target="https://CRAN.R-project.org/package=shinydashboard" TargetMode="External" /><Relationship Type="http://schemas.openxmlformats.org/officeDocument/2006/relationships/hyperlink" Id="rId114"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2" Target="https://doi.org/10.1511/2014.111.460" TargetMode="External" /><Relationship Type="http://schemas.openxmlformats.org/officeDocument/2006/relationships/hyperlink" Id="rId84"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5"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10"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3"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108" Target="http://www.rstudio.com/" TargetMode="External" /><Relationship Type="http://schemas.openxmlformats.org/officeDocument/2006/relationships/hyperlink" Id="rId64"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3" Target="https://CRAN.R-project.org/package=icesTAF" TargetMode="External" /><Relationship Type="http://schemas.openxmlformats.org/officeDocument/2006/relationships/hyperlink" Id="rId66" Target="https://CRAN.R-project.org/package=leaflet" TargetMode="External" /><Relationship Type="http://schemas.openxmlformats.org/officeDocument/2006/relationships/hyperlink" Id="rId53" Target="https://CRAN.R-project.org/package=markdown" TargetMode="External" /><Relationship Type="http://schemas.openxmlformats.org/officeDocument/2006/relationships/hyperlink" Id="rId62" Target="https://CRAN.R-project.org/package=shiny" TargetMode="External" /><Relationship Type="http://schemas.openxmlformats.org/officeDocument/2006/relationships/hyperlink" Id="rId60" Target="https://CRAN.R-project.org/package=shinydashboard" TargetMode="External" /><Relationship Type="http://schemas.openxmlformats.org/officeDocument/2006/relationships/hyperlink" Id="rId114"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2" Target="https://doi.org/10.1511/2014.111.460" TargetMode="External" /><Relationship Type="http://schemas.openxmlformats.org/officeDocument/2006/relationships/hyperlink" Id="rId84"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5"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10"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3"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2020-03-06T17:16:32Z</dcterms:created>
  <dcterms:modified xsi:type="dcterms:W3CDTF">2020-03-06T17:16:32Z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