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26.png" ContentType="image/png"/>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Running</w:t>
      </w:r>
      <w:r>
        <w:rPr>
          <w:b/>
        </w:rPr>
        <w:t xml:space="preserve"> </w:t>
      </w:r>
      <w:r>
        <w:rPr>
          <w:b/>
        </w:rPr>
        <w:t xml:space="preserve">title</w:t>
      </w:r>
      <w:r>
        <w:t xml:space="preserve">:</w:t>
      </w:r>
      <w:r>
        <w:t xml:space="preserve"> </w:t>
      </w:r>
      <w:r>
        <w:t xml:space="preserve">Interactive</w:t>
      </w:r>
      <w:r>
        <w:t xml:space="preserve"> </w:t>
      </w:r>
      <w:r>
        <w:t xml:space="preserve">stock</w:t>
      </w:r>
      <w:r>
        <w:t xml:space="preserve"> </w:t>
      </w:r>
      <w:r>
        <w:t xml:space="preserve">assessment</w:t>
      </w:r>
    </w:p>
    <w:p>
      <w:pPr>
        <w:pStyle w:val="Abstract"/>
      </w:pPr>
      <w:r>
        <w:rPr>
          <w:b/>
        </w:rPr>
        <w:t xml:space="preserve">Conflict</w:t>
      </w:r>
      <w:r>
        <w:rPr>
          <w:b/>
        </w:rPr>
        <w:t xml:space="preserve"> </w:t>
      </w:r>
      <w:r>
        <w:rPr>
          <w:b/>
        </w:rPr>
        <w:t xml:space="preserve">of</w:t>
      </w:r>
      <w:r>
        <w:rPr>
          <w:b/>
        </w:rPr>
        <w:t xml:space="preserve"> </w:t>
      </w:r>
      <w:r>
        <w:rPr>
          <w:b/>
        </w:rPr>
        <w:t xml:space="preserve">Interest</w:t>
      </w:r>
      <w:r>
        <w:rPr>
          <w:b/>
        </w:rPr>
        <w:t xml:space="preserve"> </w:t>
      </w:r>
      <w:r>
        <w:rPr>
          <w:b/>
        </w:rPr>
        <w:t xml:space="preserve">Statement</w:t>
      </w:r>
      <w:r>
        <w:t xml:space="preserve">:</w:t>
      </w:r>
      <w:r>
        <w:t xml:space="preserve"> </w:t>
      </w:r>
      <w:r>
        <w:t xml:space="preserve">The</w:t>
      </w:r>
      <w:r>
        <w:t xml:space="preserve"> </w:t>
      </w:r>
      <w:r>
        <w:t xml:space="preserve">authors</w:t>
      </w:r>
      <w:r>
        <w:t xml:space="preserve"> </w:t>
      </w:r>
      <w:r>
        <w:t xml:space="preserve">have</w:t>
      </w:r>
      <w:r>
        <w:t xml:space="preserve"> </w:t>
      </w:r>
      <w:r>
        <w:t xml:space="preserve">no</w:t>
      </w:r>
      <w:r>
        <w:t xml:space="preserve"> </w:t>
      </w:r>
      <w:r>
        <w:t xml:space="preserve">conflicts</w:t>
      </w:r>
      <w:r>
        <w:t xml:space="preserve"> </w:t>
      </w:r>
      <w:r>
        <w:t xml:space="preserve">of</w:t>
      </w:r>
      <w:r>
        <w:t xml:space="preserve"> </w:t>
      </w:r>
      <w:r>
        <w:t xml:space="preserve">interest</w:t>
      </w:r>
      <w:r>
        <w:t xml:space="preserve"> </w:t>
      </w:r>
      <w:r>
        <w:t xml:space="preserve">to</w:t>
      </w:r>
      <w:r>
        <w:t xml:space="preserve"> </w:t>
      </w:r>
      <w:r>
        <w:t xml:space="preserve">declare.</w:t>
      </w:r>
    </w:p>
    <w:p>
      <w:pPr>
        <w:pStyle w:val="Abstract"/>
      </w:pPr>
      <w:r>
        <w:rPr>
          <w:b/>
        </w:rPr>
        <w:t xml:space="preserve">Data</w:t>
      </w:r>
      <w:r>
        <w:rPr>
          <w:b/>
        </w:rPr>
        <w:t xml:space="preserve"> </w:t>
      </w:r>
      <w:r>
        <w:rPr>
          <w:b/>
        </w:rPr>
        <w:t xml:space="preserve">Availability</w:t>
      </w:r>
      <w:r>
        <w:rPr>
          <w:b/>
        </w:rPr>
        <w:t xml:space="preserve"> </w:t>
      </w:r>
      <w:r>
        <w:rPr>
          <w:b/>
        </w:rPr>
        <w:t xml:space="preserve">Statement</w:t>
      </w:r>
      <w:r>
        <w:t xml:space="preserve">:</w:t>
      </w:r>
      <w:r>
        <w:t xml:space="preserve"> </w:t>
      </w:r>
      <w:r>
        <w:t xml:space="preserve">Data</w:t>
      </w:r>
      <w:r>
        <w:t xml:space="preserve"> </w:t>
      </w:r>
      <w:r>
        <w:t xml:space="preserve">sharing</w:t>
      </w:r>
      <w:r>
        <w:t xml:space="preserve"> </w:t>
      </w:r>
      <w:r>
        <w:t xml:space="preserve">is</w:t>
      </w:r>
      <w:r>
        <w:t xml:space="preserve"> </w:t>
      </w:r>
      <w:r>
        <w:t xml:space="preserve">not</w:t>
      </w:r>
      <w:r>
        <w:t xml:space="preserve"> </w:t>
      </w:r>
      <w:r>
        <w:t xml:space="preserve">applicable</w:t>
      </w:r>
      <w:r>
        <w:t xml:space="preserve"> </w:t>
      </w:r>
      <w:r>
        <w:t xml:space="preserve">to</w:t>
      </w:r>
      <w:r>
        <w:t xml:space="preserve"> </w:t>
      </w:r>
      <w:r>
        <w:t xml:space="preserve">this</w:t>
      </w:r>
      <w:r>
        <w:t xml:space="preserve"> </w:t>
      </w:r>
      <w:r>
        <w:t xml:space="preserve">article</w:t>
      </w:r>
      <w:r>
        <w:t xml:space="preserve"> </w:t>
      </w:r>
      <w:r>
        <w:t xml:space="preserve">as</w:t>
      </w:r>
      <w:r>
        <w:t xml:space="preserve"> </w:t>
      </w:r>
      <w:r>
        <w:t xml:space="preserve">no</w:t>
      </w:r>
      <w:r>
        <w:t xml:space="preserve"> </w:t>
      </w:r>
      <w:r>
        <w:t xml:space="preserve">new</w:t>
      </w:r>
      <w:r>
        <w:t xml:space="preserve"> </w:t>
      </w:r>
      <w:r>
        <w:t xml:space="preserve">data</w:t>
      </w:r>
      <w:r>
        <w:t xml:space="preserve"> </w:t>
      </w:r>
      <w:r>
        <w:t xml:space="preserve">were</w:t>
      </w:r>
      <w:r>
        <w:t xml:space="preserve"> </w:t>
      </w:r>
      <w:r>
        <w:t xml:space="preserve">created</w:t>
      </w:r>
      <w:r>
        <w:t xml:space="preserve"> </w:t>
      </w:r>
      <w:r>
        <w:t xml:space="preserve">or</w:t>
      </w:r>
      <w:r>
        <w:t xml:space="preserve"> </w:t>
      </w:r>
      <w:r>
        <w:t xml:space="preserve">analyzed</w:t>
      </w:r>
      <w:r>
        <w:t xml:space="preserve"> </w:t>
      </w:r>
      <w:r>
        <w:t xml:space="preserve">in</w:t>
      </w:r>
      <w:r>
        <w:t xml:space="preserve"> </w:t>
      </w:r>
      <w:r>
        <w:t xml:space="preserve">this</w:t>
      </w:r>
      <w:r>
        <w:t xml:space="preserve"> </w:t>
      </w:r>
      <w:r>
        <w:t xml:space="preserve">study.</w:t>
      </w:r>
    </w:p>
    <w:p>
      <w:pPr>
        <w:pStyle w:val="Abstract"/>
      </w:pPr>
      <w:r>
        <w:rPr>
          <w:b/>
        </w:rPr>
        <w:t xml:space="preserve">Abstract</w:t>
      </w:r>
      <w:r>
        <w:t xml:space="preserve">:</w:t>
      </w:r>
      <w:r>
        <w:t xml:space="preserve"> </w:t>
      </w:r>
      <w:r>
        <w:t xml:space="preserve">In</w:t>
      </w:r>
      <w:r>
        <w:t xml:space="preserve"> </w:t>
      </w:r>
      <w:r>
        <w:t xml:space="preserve">the</w:t>
      </w:r>
      <w:r>
        <w:t xml:space="preserve"> </w:t>
      </w:r>
      <w:r>
        <w:t xml:space="preserve">age</w:t>
      </w:r>
      <w:r>
        <w:t xml:space="preserve"> </w:t>
      </w:r>
      <w:r>
        <w:t xml:space="preserve">of</w:t>
      </w:r>
      <w:r>
        <w:t xml:space="preserve"> </w:t>
      </w:r>
      <w:r>
        <w:t xml:space="preserve">big</w:t>
      </w:r>
      <w:r>
        <w:t xml:space="preserve"> </w:t>
      </w:r>
      <w:r>
        <w:t xml:space="preserve">data,</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the</w:t>
      </w:r>
      <w:r>
        <w:t xml:space="preserve"> </w:t>
      </w:r>
      <w:r>
        <w:t xml:space="preserve">assessments</w:t>
      </w:r>
      <w:r>
        <w:t xml:space="preserve"> </w:t>
      </w:r>
      <w:r>
        <w:t xml:space="preserve">of</w:t>
      </w:r>
      <w:r>
        <w:t xml:space="preserve"> </w:t>
      </w:r>
      <w:r>
        <w:t xml:space="preserve">many</w:t>
      </w:r>
      <w:r>
        <w:t xml:space="preserve"> </w:t>
      </w:r>
      <w:r>
        <w:t xml:space="preserve">stocks,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the</w:t>
      </w:r>
      <w:r>
        <w:t xml:space="preserve"> </w:t>
      </w:r>
      <w:r>
        <w:t xml:space="preserve">results</w:t>
      </w:r>
      <w:r>
        <w:t xml:space="preserve"> </w:t>
      </w:r>
      <w:r>
        <w:t xml:space="preserve">to</w:t>
      </w:r>
      <w:r>
        <w:t xml:space="preserve"> </w:t>
      </w:r>
      <w:r>
        <w:t xml:space="preserve">stakeholders</w:t>
      </w:r>
      <w:r>
        <w:t xml:space="preserve"> </w:t>
      </w:r>
      <w:r>
        <w:t xml:space="preserve">and</w:t>
      </w:r>
      <w:r>
        <w:t xml:space="preserve"> </w:t>
      </w:r>
      <w:r>
        <w:t xml:space="preserve">fisheries</w:t>
      </w:r>
      <w:r>
        <w:t xml:space="preserve"> </w:t>
      </w:r>
      <w:r>
        <w:t xml:space="preserve">managers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r>
        <w:t xml:space="preserve"> </w:t>
      </w:r>
      <w:r>
        <w:t xml:space="preserve">and</w:t>
      </w:r>
      <w:r>
        <w:t xml:space="preserve"> </w:t>
      </w:r>
      <w:r>
        <w:t xml:space="preserve">the</w:t>
      </w:r>
      <w:r>
        <w:t xml:space="preserve"> </w:t>
      </w:r>
      <w:r>
        <w:t xml:space="preserve">resulting</w:t>
      </w:r>
      <w:r>
        <w:t xml:space="preserve"> </w:t>
      </w:r>
      <w:r>
        <w:t xml:space="preserve">science</w:t>
      </w:r>
      <w:r>
        <w:t xml:space="preserve"> </w:t>
      </w:r>
      <w:r>
        <w:t xml:space="preserve">advice</w:t>
      </w:r>
      <w:r>
        <w:t xml:space="preserve"> </w:t>
      </w:r>
      <w:r>
        <w:t xml:space="preserve">is</w:t>
      </w:r>
      <w:r>
        <w:t xml:space="preserve"> </w:t>
      </w:r>
      <w:r>
        <w:t xml:space="preserve">improved</w:t>
      </w:r>
      <w:r>
        <w:t xml:space="preserve"> </w:t>
      </w:r>
      <w:r>
        <w:t xml:space="preserve">and</w:t>
      </w:r>
      <w:r>
        <w:t xml:space="preserve"> </w:t>
      </w:r>
      <w:r>
        <w:t xml:space="preserve">widely</w:t>
      </w:r>
      <w:r>
        <w:t xml:space="preserve"> </w:t>
      </w:r>
      <w:r>
        <w:t xml:space="preserve">supported.</w:t>
      </w:r>
    </w:p>
    <w:p>
      <w:pPr>
        <w:pStyle w:val="Compact"/>
        <w:pStyle w:val="Abstract"/>
      </w:pPr>
      <w:r>
        <w:rPr>
          <w:b/>
        </w:rPr>
        <w:t xml:space="preserve">Keywords</w:t>
      </w:r>
      <w:r>
        <w:t xml:space="preserve">:</w:t>
      </w:r>
      <w:r>
        <w:t xml:space="preserve"> </w:t>
      </w:r>
      <w:r>
        <w:t xml:space="preserve">dashboard,</w:t>
      </w:r>
      <w:r>
        <w:t xml:space="preserve"> </w:t>
      </w:r>
      <w:r>
        <w:t xml:space="preserve">data</w:t>
      </w:r>
      <w:r>
        <w:t xml:space="preserve"> </w:t>
      </w:r>
      <w:r>
        <w:t xml:space="preserve">exploration,</w:t>
      </w:r>
      <w:r>
        <w:t xml:space="preserve"> </w:t>
      </w:r>
      <w:r>
        <w:t xml:space="preserve">dynamic</w:t>
      </w:r>
      <w:r>
        <w:t xml:space="preserve"> </w:t>
      </w:r>
      <w:r>
        <w:t xml:space="preserve">documents,</w:t>
      </w:r>
      <w:r>
        <w:t xml:space="preserve"> </w:t>
      </w:r>
      <w:r>
        <w:t xml:space="preserve">integrated</w:t>
      </w:r>
      <w:r>
        <w:t xml:space="preserve"> </w:t>
      </w:r>
      <w:r>
        <w:t xml:space="preserve">analysis,</w:t>
      </w:r>
      <w:r>
        <w:t xml:space="preserve"> </w:t>
      </w:r>
      <w:r>
        <w:t xml:space="preserve">model</w:t>
      </w:r>
      <w:r>
        <w:t xml:space="preserve"> </w:t>
      </w:r>
      <w:r>
        <w:t xml:space="preserve">validation,</w:t>
      </w:r>
      <w:r>
        <w:t xml:space="preserve"> </w:t>
      </w:r>
      <w:r>
        <w:t xml:space="preserve">open</w:t>
      </w:r>
      <w:r>
        <w:t xml:space="preserve"> </w:t>
      </w:r>
      <w:r>
        <w:t xml:space="preserve">stock</w:t>
      </w:r>
      <w:r>
        <w:t xml:space="preserve"> </w:t>
      </w:r>
      <w:r>
        <w:t xml:space="preserve">assessment</w:t>
      </w:r>
    </w:p>
    <w:p>
      <w:pPr>
        <w:pStyle w:val="FirstParagraph"/>
      </w:pPr>
      <w:r>
        <w:t xml:space="preserve">Quantitative stock assessment plays a central role in modern fisheries management.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 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of presenting information at stakeholder meetings, and to fisheries managers, are simply insufficient to convey the richness of the information available. More importantly, these static and linear formats tend to stifle meaningful discussion as important details and patterns tend to get lost under the sheer volume of output. A solution to this problem is the effective use of interactive visualization tools. These are common tools we use every day on a range of web sites, but their use is no longer restricted to web site developers as these tools are being integrated into software commonly used by the research community.</w:t>
      </w:r>
    </w:p>
    <w:p>
      <w:pPr>
        <w:pStyle w:val="BodyText"/>
      </w:pPr>
      <w:r>
        <w:t xml:space="preserve">Here we aim to demonstrate how interactive visualization tools provide an efficient and effective means of exploring and communicating the ever-expanding array of data inputs and model outputs. First, we focus on data that are commonly presented in stock assessments and use interactive maps to simplify the detailed exploration of data from a long-term tagging program. Second, we focus on the modeling aspect of stock assessment and demonstrate how dynamic and interactive data visualizations can be used to explore, diagnose and communicate results from an integrated assessment model. This structure corresponds to two important steps in the stock assessment process: 1) knowing the data, and 2) data modeling.</w:t>
      </w:r>
    </w:p>
    <w:p>
      <w:pPr>
        <w:pStyle w:val="Heading1"/>
      </w:pPr>
      <w:bookmarkStart w:id="20" w:name="knowing-the-data"/>
      <w:r>
        <w:t xml:space="preserve">Knowing the data</w:t>
      </w:r>
      <w:bookmarkEnd w:id="20"/>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This challenge can be mediated, to a degree, by the application of interactive visualization tools as that they allow detailed exploration of the data behind a plot. For instance, the ability to zoom in on features or areas of interest, turn off layers and hover over specific points to reveal more information creates an interactive user-driven experience that expedites explorations of data. This is exemplified by an interactive mapping tool developed for the exploration of a long-term tagging study.</w:t>
      </w:r>
    </w:p>
    <w:p>
      <w:pPr>
        <w:pStyle w:val="BodyText"/>
      </w:pPr>
      <w:r>
        <w:t xml:space="preserve">Northern cod (NAFO Divisions 2J3KL) has a rich history of tagging, starting in in 1954</w:t>
      </w:r>
      <w:r>
        <w:t xml:space="preserve"> </w:t>
      </w:r>
      <w:r>
        <w:t xml:space="preserve">(Taggart, Penney, Barrowman, &amp; George,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shiny</w:t>
      </w:r>
      <w:r>
        <w:t xml:space="preserve"> </w:t>
      </w:r>
      <w:r>
        <w:t xml:space="preserve">(Chang et al., 2018)</w:t>
      </w:r>
      <w:r>
        <w:t xml:space="preserve"> </w:t>
      </w:r>
      <w:r>
        <w:t xml:space="preserve">application using the mapping package leaflet</w:t>
      </w:r>
      <w:r>
        <w:t xml:space="preserve"> </w:t>
      </w:r>
      <w:r>
        <w:t xml:space="preserve">(Cheng, Karambelkar, &amp; Xie, 2018)</w:t>
      </w:r>
      <w:r>
        <w:t xml:space="preserve">, all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Shiny provides a means for the user to easily interface with the application, including options to quickly and dynamically subset the data (e.g. ranges of release and capture years, specific geographic locations). As the application developed, it was incorporated into shinydashboard</w:t>
      </w:r>
      <w:r>
        <w:t xml:space="preserve"> </w:t>
      </w:r>
      <w:r>
        <w:t xml:space="preserve">(Chang &amp; Borges Ribeiro, 2018)</w:t>
      </w:r>
      <w:r>
        <w:t xml:space="preserve">, to take advantage of the number of layout options available in shinydashboard. Given the large number of tags released, often at nearby sites, visualizing the data with static mapping was particularly challenging. The markercluster (</w:t>
      </w:r>
      <w:hyperlink r:id="rId21">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1</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2</w:t>
      </w:r>
      <w:r>
        <w:t xml:space="preserve">).</w:t>
      </w:r>
    </w:p>
    <w:p>
      <w:pPr>
        <w:pStyle w:val="CaptionedFigure"/>
      </w:pPr>
      <w:r>
        <w:drawing>
          <wp:inline>
            <wp:extent cx="5943600" cy="3012253"/>
            <wp:effectExtent b="0" l="0" r="0" t="0"/>
            <wp:docPr descr="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2"/>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3"/>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4" w:name="data-modeling"/>
      <w:r>
        <w:t xml:space="preserve">Data modeling</w:t>
      </w:r>
      <w:bookmarkEnd w:id="24"/>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&amp;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&amp;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Nielsen, Berg, Skaug, &amp; Bell,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Using a recently developed tool for exploring the integrated assessment model for Northern cod as an example, we hope to demonstrate that interactive visualization tools can help meet these challenges.</w:t>
      </w:r>
    </w:p>
    <w:p>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 output. The usual approach would be to produce static presentations and documents with a series of figures and tables, but with large amounts of model inputs and outputs, this approach quickly becomes overwhelming for both the analyst and the stakeholders involved.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 and self-contained</w:t>
      </w:r>
      <w:r>
        <w:t xml:space="preserve"> </w:t>
      </w:r>
      <w:r>
        <w:t xml:space="preserve">“</w:t>
      </w:r>
      <w:r>
        <w:t xml:space="preserve">dashboard</w:t>
      </w:r>
      <w:r>
        <w:t xml:space="preserve">”</w:t>
      </w:r>
      <w:r>
        <w:t xml:space="preserve"> </w:t>
      </w:r>
      <w:r>
        <w:t xml:space="preserve">was developed for the 2018 assessment of Northern cod</w:t>
      </w:r>
      <w:r>
        <w:t xml:space="preserve"> </w:t>
      </w:r>
      <w:r>
        <w:t xml:space="preserve">(Dwyer et al., 2019)</w:t>
      </w:r>
      <w:r>
        <w:t xml:space="preserve">. The concept of using a dashboard was borrowed from the business community where dashboards are frequently used to group a series of interactive visuals and tables to provide at-a-glance views of key performance indicators. We used R-based packages</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to construct a tool for exploring the input and output of NCAM, specifically the flexdashboard</w:t>
      </w:r>
      <w:r>
        <w:t xml:space="preserve"> </w:t>
      </w:r>
      <w:r>
        <w:t xml:space="preserve">(Allaire, 2017)</w:t>
      </w:r>
      <w:r>
        <w:t xml:space="preserve"> </w:t>
      </w:r>
      <w:r>
        <w:t xml:space="preserve">package to group interactive plotly-based</w:t>
      </w:r>
      <w:r>
        <w:t xml:space="preserve"> </w:t>
      </w:r>
      <w:r>
        <w:t xml:space="preserve">(Sievert, 2018)</w:t>
      </w:r>
      <w:r>
        <w:t xml:space="preserve"> </w:t>
      </w:r>
      <w:r>
        <w:t xml:space="preserve">visuals into a dynamic document. We also used the crosstalk</w:t>
      </w:r>
      <w:r>
        <w:t xml:space="preserve"> </w:t>
      </w:r>
      <w:r>
        <w:t xml:space="preserve">(Cheng, 2016)</w:t>
      </w:r>
      <w:r>
        <w:t xml:space="preserve"> </w:t>
      </w:r>
      <w:r>
        <w:t xml:space="preserve">package to link the data displayed across multiple plots. Via R Markdown</w:t>
      </w:r>
      <w:r>
        <w:t xml:space="preserve"> </w:t>
      </w:r>
      <w:r>
        <w:t xml:space="preserve">(Allaire, Horner, Xie, Marti, &amp; Porte, 2018)</w:t>
      </w:r>
      <w:r>
        <w:t xml:space="preserve">, the dashboard is rendered into a self-contained html file that is reproducible, interactive, and easy to update following modifications to the model or the addition of new data.</w:t>
      </w:r>
    </w:p>
    <w:p>
      <w:pPr>
        <w:pStyle w:val="BodyText"/>
      </w:pPr>
      <w:r>
        <w:t xml:space="preserve">The NCAM dashboard (Supplement 2) contains a series of tabs, the first of which provides terse point-form background on the model (tab named</w:t>
      </w:r>
      <w:r>
        <w:t xml:space="preserve"> </w:t>
      </w:r>
      <w:r>
        <w:t xml:space="preserve">“</w:t>
      </w:r>
      <w:r>
        <w:t xml:space="preserve">Background</w:t>
      </w:r>
      <w:r>
        <w:t xml:space="preserve">”</w:t>
      </w:r>
      <w:r>
        <w:t xml:space="preserve">). Subsequent tabs provide a series of diagnostic plots for assessing model fits to the catch (</w:t>
      </w:r>
      <w:r>
        <w:t xml:space="preserve">“</w:t>
      </w:r>
      <w:r>
        <w:t xml:space="preserve">Catch</w:t>
      </w:r>
      <w:r>
        <w:t xml:space="preserve">”</w:t>
      </w:r>
      <w:r>
        <w:t xml:space="preserve">), research vessel autumn trawl survey (</w:t>
      </w:r>
      <w:r>
        <w:t xml:space="preserve">“</w:t>
      </w:r>
      <w:r>
        <w:t xml:space="preserve">RV survey</w:t>
      </w:r>
      <w:r>
        <w:t xml:space="preserve">”</w:t>
      </w:r>
      <w:r>
        <w:t xml:space="preserve">), Sentinel fishery survey (</w:t>
      </w:r>
      <w:r>
        <w:t xml:space="preserve">“</w:t>
      </w:r>
      <w:r>
        <w:t xml:space="preserve">SN survey</w:t>
      </w:r>
      <w:r>
        <w:t xml:space="preserve">”</w:t>
      </w:r>
      <w:r>
        <w:t xml:space="preserve">), inshore acoustic survey (</w:t>
      </w:r>
      <w:r>
        <w:t xml:space="preserve">“</w:t>
      </w:r>
      <w:r>
        <w:t xml:space="preserve">SS survey</w:t>
      </w:r>
      <w:r>
        <w:t xml:space="preserve">”</w:t>
      </w:r>
      <w:r>
        <w:t xml:space="preserve">),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tab includes plots of observed and predicted values of mean numbers per tow captured in the research vessel survey (Figure</w:t>
      </w:r>
      <w:r>
        <w:t xml:space="preserve"> </w:t>
      </w:r>
      <w:r>
        <w:t xml:space="preserve">3</w:t>
      </w:r>
      <w:r>
        <w:t xml:space="preserve">). The dashboard also includes tabs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4</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tab and key inputs and outputs are included as tables under the</w:t>
      </w:r>
      <w:r>
        <w:t xml:space="preserve"> </w:t>
      </w:r>
      <w:r>
        <w:t xml:space="preserve">“</w:t>
      </w:r>
      <w:r>
        <w:t xml:space="preserve">Tables</w:t>
      </w:r>
      <w:r>
        <w:t xml:space="preserve">”</w:t>
      </w:r>
      <w:r>
        <w:t xml:space="preserve"> </w:t>
      </w:r>
      <w:r>
        <w:t xml:space="preserve">tab. The plots and tables included in the dashboard are similar to those typically presented at assessment meetings and in research documents, however, the interactive nature of the plots permit easy and efficient access to significantly more detail. 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stock assessment model which, in turn, leads to richer discussion and scrutiny of the biological and statistical rigor of the model.</w:t>
      </w:r>
    </w:p>
    <w:p>
      <w:pPr>
        <w:pStyle w:val="CaptionedFigure"/>
      </w:pPr>
      <w:r>
        <w:drawing>
          <wp:inline>
            <wp:extent cx="5943600" cy="3962400"/>
            <wp:effectExtent b="0" l="0" r="0" t="0"/>
            <wp:docPr descr="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25"/>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4 -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26"/>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27" w:name="towards-open-stock-assessment"/>
      <w:r>
        <w:t xml:space="preserve">Towards open stock-assessment</w:t>
      </w:r>
      <w:bookmarkEnd w:id="27"/>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Vander Wal, &amp; Fifield,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&amp; Peng, 2015b)</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2015, 2013; Leek &amp; Peng, 2015b, 2015a)</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&amp; Claerbout, 2009)</w:t>
      </w:r>
      <w:r>
        <w:t xml:space="preserve">.</w:t>
      </w:r>
    </w:p>
    <w:p>
      <w:pPr>
        <w:pStyle w:val="BodyText"/>
      </w:pPr>
      <w:r>
        <w:t xml:space="preserve">We believe that the dashboard tool is a step forward in terms of open science and reproducible research in addition to being a major step forward in how stock assessments are presented and critiqued. While the entire data-pipeline can be revealed to all by sharing code and data, it is unlikely that an individual has the time to fully review and recreate a particular analysis in its entirety when most participants are already overcommitted</w:t>
      </w:r>
      <w:r>
        <w:t xml:space="preserve"> </w:t>
      </w:r>
      <w:r>
        <w:t xml:space="preserve">(Banks, 2011)</w:t>
      </w:r>
      <w:r>
        <w:t xml:space="preserve">. In the case of NCAM, considerable statistical experience and expertise is required simply to run the model. However, the dashboard removes many of these difficulties. The html file contains all model inputs, outputs and diagnostics in an open and easy to use interactive document, and can be distributed prior to meetings and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28" w:name="conclusions"/>
      <w:r>
        <w:t xml:space="preserve">Conclusions</w:t>
      </w:r>
      <w:bookmarkEnd w:id="28"/>
    </w:p>
    <w:p>
      <w:pPr>
        <w:pStyle w:val="FirstParagraph"/>
      </w:pPr>
      <w:r>
        <w:t xml:space="preserve">We must acknowledge there are costs to adopting the use of interactive tools. The first and obvious one being that staff are required to have both the time and training to effectively develop these tools. In our two examples, the developers (first and second authors) were relatively proficient with R and have natural aptitudes for programming, but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 Scientific exploration is rarely a linear process, and the ability to navigate around a dashboard fits the natural way people pursue ideas.</w:t>
      </w:r>
    </w:p>
    <w:p>
      <w:pPr>
        <w:pStyle w:val="Heading1"/>
      </w:pPr>
      <w:bookmarkStart w:id="29" w:name="acknowledgements"/>
      <w:r>
        <w:t xml:space="preserve">Acknowledgements</w:t>
      </w:r>
      <w:bookmarkEnd w:id="29"/>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w:t>
      </w:r>
    </w:p>
    <w:p>
      <w:pPr>
        <w:pStyle w:val="Heading1"/>
      </w:pPr>
      <w:bookmarkStart w:id="30" w:name="references"/>
      <w:r>
        <w:t xml:space="preserve">References</w:t>
      </w:r>
      <w:bookmarkEnd w:id="30"/>
    </w:p>
    <w:bookmarkStart w:id="67" w:name="refs"/>
    <w:bookmarkStart w:id="32" w:name="ref-allaire2017"/>
    <w:p>
      <w:pPr>
        <w:pStyle w:val="Bibliography"/>
      </w:pPr>
      <w:r>
        <w:t xml:space="preserve">Allaire, J. (2017).</w:t>
      </w:r>
      <w:r>
        <w:t xml:space="preserve"> </w:t>
      </w:r>
      <w:r>
        <w:rPr>
          <w:i/>
        </w:rPr>
        <w:t xml:space="preserve">Flexdashboard: R markdown format for flexible dashboards</w:t>
      </w:r>
      <w:r>
        <w:t xml:space="preserve">. Retrieved from</w:t>
      </w:r>
      <w:r>
        <w:t xml:space="preserve"> </w:t>
      </w:r>
      <w:hyperlink r:id="rId31">
        <w:r>
          <w:rPr>
            <w:rStyle w:val="Hyperlink"/>
          </w:rPr>
          <w:t xml:space="preserve">https://CRAN.R-project.org/package=flexdashboard</w:t>
        </w:r>
      </w:hyperlink>
    </w:p>
    <w:bookmarkEnd w:id="32"/>
    <w:bookmarkStart w:id="34" w:name="ref-allaire2018"/>
    <w:p>
      <w:pPr>
        <w:pStyle w:val="Bibliography"/>
      </w:pPr>
      <w:r>
        <w:t xml:space="preserve">Allaire, J., Horner, J., Xie, Y., Marti, V., &amp; Porte, N. (2018).</w:t>
      </w:r>
      <w:r>
        <w:t xml:space="preserve"> </w:t>
      </w:r>
      <w:r>
        <w:rPr>
          <w:i/>
        </w:rPr>
        <w:t xml:space="preserve">Markdown: ’Markdown’ rendering for r</w:t>
      </w:r>
      <w:r>
        <w:t xml:space="preserve">. Retrieved from</w:t>
      </w:r>
      <w:r>
        <w:t xml:space="preserve"> </w:t>
      </w:r>
      <w:hyperlink r:id="rId33">
        <w:r>
          <w:rPr>
            <w:rStyle w:val="Hyperlink"/>
          </w:rPr>
          <w:t xml:space="preserve">https://CRAN.R-project.org/package=markdown</w:t>
        </w:r>
      </w:hyperlink>
    </w:p>
    <w:bookmarkEnd w:id="34"/>
    <w:bookmarkStart w:id="35" w:name="ref-banks2011"/>
    <w:p>
      <w:pPr>
        <w:pStyle w:val="Bibliography"/>
      </w:pPr>
      <w:r>
        <w:t xml:space="preserve">Banks, D. (2011). Reproducible research: A range of response.</w:t>
      </w:r>
      <w:r>
        <w:t xml:space="preserve"> </w:t>
      </w:r>
      <w:r>
        <w:rPr>
          <w:i/>
        </w:rPr>
        <w:t xml:space="preserve">Statistics, Politics, and Policy</w:t>
      </w:r>
      <w:r>
        <w:t xml:space="preserve">,</w:t>
      </w:r>
      <w:r>
        <w:t xml:space="preserve"> </w:t>
      </w:r>
      <w:r>
        <w:rPr>
          <w:i/>
        </w:rPr>
        <w:t xml:space="preserve">2</w:t>
      </w:r>
      <w:r>
        <w:t xml:space="preserve">(1), 4.</w:t>
      </w:r>
    </w:p>
    <w:bookmarkEnd w:id="35"/>
    <w:bookmarkStart w:id="36" w:name="ref-cadigan2016"/>
    <w:p>
      <w:pPr>
        <w:pStyle w:val="Bibliography"/>
      </w:pPr>
      <w:r>
        <w:t xml:space="preserve">Cadigan, N. G. (2016). A state-space stock assessment model for northern cod, including under-reported catches and variable natural mortality rates.</w:t>
      </w:r>
      <w:r>
        <w:t xml:space="preserve"> </w:t>
      </w:r>
      <w:r>
        <w:rPr>
          <w:i/>
        </w:rPr>
        <w:t xml:space="preserve">Canadian Journal of Fisheries and Aquatic Sciences</w:t>
      </w:r>
      <w:r>
        <w:t xml:space="preserve">,</w:t>
      </w:r>
      <w:r>
        <w:t xml:space="preserve"> </w:t>
      </w:r>
      <w:r>
        <w:rPr>
          <w:i/>
        </w:rPr>
        <w:t xml:space="preserve">73</w:t>
      </w:r>
      <w:r>
        <w:t xml:space="preserve">(2), 296–308.</w:t>
      </w:r>
    </w:p>
    <w:bookmarkEnd w:id="36"/>
    <w:bookmarkStart w:id="38" w:name="ref-chang2018b"/>
    <w:p>
      <w:pPr>
        <w:pStyle w:val="Bibliography"/>
      </w:pPr>
      <w:r>
        <w:t xml:space="preserve">Chang, W., &amp; Borges Ribeiro, B. (2018).</w:t>
      </w:r>
      <w:r>
        <w:t xml:space="preserve"> </w:t>
      </w:r>
      <w:r>
        <w:rPr>
          <w:i/>
        </w:rPr>
        <w:t xml:space="preserve">Shinydashboard: Create dashboards with ’shiny’</w:t>
      </w:r>
      <w:r>
        <w:t xml:space="preserve">. Retrieved from</w:t>
      </w:r>
      <w:r>
        <w:t xml:space="preserve"> </w:t>
      </w:r>
      <w:hyperlink r:id="rId37">
        <w:r>
          <w:rPr>
            <w:rStyle w:val="Hyperlink"/>
          </w:rPr>
          <w:t xml:space="preserve">https://CRAN.R-project.org/package=shinydashboard</w:t>
        </w:r>
      </w:hyperlink>
    </w:p>
    <w:bookmarkEnd w:id="38"/>
    <w:bookmarkStart w:id="40" w:name="ref-chang2018a"/>
    <w:p>
      <w:pPr>
        <w:pStyle w:val="Bibliography"/>
      </w:pPr>
      <w:r>
        <w:t xml:space="preserve">Chang, W., Cheng, J., Allaire, J., Xie, Y., &amp; McPherson, J. (2018).</w:t>
      </w:r>
      <w:r>
        <w:t xml:space="preserve"> </w:t>
      </w:r>
      <w:r>
        <w:rPr>
          <w:i/>
        </w:rPr>
        <w:t xml:space="preserve">Shiny: Web application framework for r</w:t>
      </w:r>
      <w:r>
        <w:t xml:space="preserve">. Retrieved from</w:t>
      </w:r>
      <w:r>
        <w:t xml:space="preserve"> </w:t>
      </w:r>
      <w:hyperlink r:id="rId39">
        <w:r>
          <w:rPr>
            <w:rStyle w:val="Hyperlink"/>
          </w:rPr>
          <w:t xml:space="preserve">https://CRAN.R-project.org/package=shiny</w:t>
        </w:r>
      </w:hyperlink>
    </w:p>
    <w:bookmarkEnd w:id="40"/>
    <w:bookmarkStart w:id="42" w:name="ref-cheng2016"/>
    <w:p>
      <w:pPr>
        <w:pStyle w:val="Bibliography"/>
      </w:pPr>
      <w:r>
        <w:t xml:space="preserve">Cheng, J. (2016).</w:t>
      </w:r>
      <w:r>
        <w:t xml:space="preserve"> </w:t>
      </w:r>
      <w:r>
        <w:rPr>
          <w:i/>
        </w:rPr>
        <w:t xml:space="preserve">Crosstalk: Inter-widget interactivity for html widgets</w:t>
      </w:r>
      <w:r>
        <w:t xml:space="preserve">. Retrieved from</w:t>
      </w:r>
      <w:r>
        <w:t xml:space="preserve"> </w:t>
      </w:r>
      <w:hyperlink r:id="rId41">
        <w:r>
          <w:rPr>
            <w:rStyle w:val="Hyperlink"/>
          </w:rPr>
          <w:t xml:space="preserve">https://CRAN.R-project.org/package=crosstalk</w:t>
        </w:r>
      </w:hyperlink>
    </w:p>
    <w:bookmarkEnd w:id="42"/>
    <w:bookmarkStart w:id="44" w:name="ref-cheng2018"/>
    <w:p>
      <w:pPr>
        <w:pStyle w:val="Bibliography"/>
      </w:pPr>
      <w:r>
        <w:t xml:space="preserve">Cheng, J., Karambelkar, B., &amp; Xie, Y. (2018).</w:t>
      </w:r>
      <w:r>
        <w:t xml:space="preserve"> </w:t>
      </w:r>
      <w:r>
        <w:rPr>
          <w:i/>
        </w:rPr>
        <w:t xml:space="preserve">Leaflet: Create interactive web maps with the javascript ’leaflet’ library</w:t>
      </w:r>
      <w:r>
        <w:t xml:space="preserve">. Retrieved from</w:t>
      </w:r>
      <w:r>
        <w:t xml:space="preserve"> </w:t>
      </w:r>
      <w:hyperlink r:id="rId43">
        <w:r>
          <w:rPr>
            <w:rStyle w:val="Hyperlink"/>
          </w:rPr>
          <w:t xml:space="preserve">https://CRAN.R-project.org/package=leaflet</w:t>
        </w:r>
      </w:hyperlink>
    </w:p>
    <w:bookmarkEnd w:id="44"/>
    <w:bookmarkStart w:id="45" w:name="ref-dwyer2019"/>
    <w:p>
      <w:pPr>
        <w:pStyle w:val="Bibliography"/>
      </w:pPr>
      <w:r>
        <w:t xml:space="preserve">Dwyer, K., Brattey, J., Cadigan, N., Healey, B., Ings, D., Lee, E., … Rideout, R. (2019). Assessment of the northern cod (</w:t>
      </w:r>
      <w:r>
        <w:rPr>
          <w:i/>
        </w:rPr>
        <w:t xml:space="preserve">Gadus morhua</w:t>
      </w:r>
      <w:r>
        <w:t xml:space="preserve">) stock in nafo divisions 2J3KL in 2018.</w:t>
      </w:r>
      <w:r>
        <w:t xml:space="preserve"> </w:t>
      </w:r>
      <w:r>
        <w:rPr>
          <w:i/>
        </w:rPr>
        <w:t xml:space="preserve">DFO Can. Sci. Advis. Sec. Res. Doc.</w:t>
      </w:r>
      <w:r>
        <w:t xml:space="preserve">,</w:t>
      </w:r>
      <w:r>
        <w:t xml:space="preserve"> </w:t>
      </w:r>
      <w:r>
        <w:rPr>
          <w:i/>
        </w:rPr>
        <w:t xml:space="preserve">2019/nnn</w:t>
      </w:r>
      <w:r>
        <w:t xml:space="preserve">, v + 126p.</w:t>
      </w:r>
    </w:p>
    <w:bookmarkEnd w:id="45"/>
    <w:bookmarkStart w:id="46" w:name="ref-fomel2009"/>
    <w:p>
      <w:pPr>
        <w:pStyle w:val="Bibliography"/>
      </w:pPr>
      <w:r>
        <w:t xml:space="preserve">Fomel, S., &amp; Claerbout, J. F. (2009). Reproducible research.</w:t>
      </w:r>
      <w:r>
        <w:t xml:space="preserve"> </w:t>
      </w:r>
      <w:r>
        <w:rPr>
          <w:i/>
        </w:rPr>
        <w:t xml:space="preserve">Computing in Science &amp; Engineering</w:t>
      </w:r>
      <w:r>
        <w:t xml:space="preserve">,</w:t>
      </w:r>
      <w:r>
        <w:t xml:space="preserve"> </w:t>
      </w:r>
      <w:r>
        <w:rPr>
          <w:i/>
        </w:rPr>
        <w:t xml:space="preserve">11</w:t>
      </w:r>
      <w:r>
        <w:t xml:space="preserve">(1), 5.</w:t>
      </w:r>
    </w:p>
    <w:bookmarkEnd w:id="46"/>
    <w:bookmarkStart w:id="47" w:name="ref-fournier2012"/>
    <w:p>
      <w:pPr>
        <w:pStyle w:val="Bibliography"/>
      </w:pPr>
      <w:r>
        <w:t xml:space="preserve">Fournier, D. A., Skaug, H. J., Ancheta, J., Ianelli, J., Magnusson, A., Maunder, M. N., … Sibert, J. (2012). AD model builder: Using automatic differentiation for statistical inference of highly parameterized complex nonlinear models.</w:t>
      </w:r>
      <w:r>
        <w:t xml:space="preserve"> </w:t>
      </w:r>
      <w:r>
        <w:rPr>
          <w:i/>
        </w:rPr>
        <w:t xml:space="preserve">Optimization Methods and Software</w:t>
      </w:r>
      <w:r>
        <w:t xml:space="preserve">,</w:t>
      </w:r>
      <w:r>
        <w:t xml:space="preserve"> </w:t>
      </w:r>
      <w:r>
        <w:rPr>
          <w:i/>
        </w:rPr>
        <w:t xml:space="preserve">27</w:t>
      </w:r>
      <w:r>
        <w:t xml:space="preserve">(2), 233–249.</w:t>
      </w:r>
    </w:p>
    <w:bookmarkEnd w:id="47"/>
    <w:bookmarkStart w:id="49" w:name="ref-gelman2014"/>
    <w:p>
      <w:pPr>
        <w:pStyle w:val="Bibliography"/>
      </w:pPr>
      <w:r>
        <w:t xml:space="preserve">Gelman, A., &amp; Loken, E. (2014). The statistical crisis in science.</w:t>
      </w:r>
      <w:r>
        <w:t xml:space="preserve"> </w:t>
      </w:r>
      <w:r>
        <w:rPr>
          <w:i/>
        </w:rPr>
        <w:t xml:space="preserve">American Scientist</w:t>
      </w:r>
      <w:r>
        <w:t xml:space="preserve">,</w:t>
      </w:r>
      <w:r>
        <w:t xml:space="preserve"> </w:t>
      </w:r>
      <w:r>
        <w:rPr>
          <w:i/>
        </w:rPr>
        <w:t xml:space="preserve">102</w:t>
      </w:r>
      <w:r>
        <w:t xml:space="preserve">, 460.</w:t>
      </w:r>
      <w:r>
        <w:t xml:space="preserve"> </w:t>
      </w:r>
      <w:hyperlink r:id="rId48">
        <w:r>
          <w:rPr>
            <w:rStyle w:val="Hyperlink"/>
          </w:rPr>
          <w:t xml:space="preserve">https://doi.org/10.1511/2014.111.460</w:t>
        </w:r>
      </w:hyperlink>
    </w:p>
    <w:bookmarkEnd w:id="49"/>
    <w:bookmarkStart w:id="50" w:name="ref-hampton2015"/>
    <w:p>
      <w:pPr>
        <w:pStyle w:val="Bibliography"/>
      </w:pPr>
      <w:r>
        <w:t xml:space="preserve">Hampton, S. E., Anderson, S. S., Bagby, S. C., Gries, C., Han, X., Hart, E. M., … Zimmerman, N. (2015). The tao of open science for ecology.</w:t>
      </w:r>
      <w:r>
        <w:t xml:space="preserve"> </w:t>
      </w:r>
      <w:r>
        <w:rPr>
          <w:i/>
        </w:rPr>
        <w:t xml:space="preserve">Ecosphere</w:t>
      </w:r>
      <w:r>
        <w:t xml:space="preserve">,</w:t>
      </w:r>
      <w:r>
        <w:t xml:space="preserve"> </w:t>
      </w:r>
      <w:r>
        <w:rPr>
          <w:i/>
        </w:rPr>
        <w:t xml:space="preserve">6</w:t>
      </w:r>
      <w:r>
        <w:t xml:space="preserve">(7), 1–13.</w:t>
      </w:r>
    </w:p>
    <w:bookmarkEnd w:id="50"/>
    <w:bookmarkStart w:id="51" w:name="ref-hampton2013"/>
    <w:p>
      <w:pPr>
        <w:pStyle w:val="Bibliography"/>
      </w:pPr>
      <w:r>
        <w:t xml:space="preserve">Hampton, S. E., Strasser, C. A., Tewksbury, J. J., Gram, W. K., Budden, A. E., Batcheller, A. L., … Porter, J. H. (2013). Big data and the future of ecology.</w:t>
      </w:r>
      <w:r>
        <w:t xml:space="preserve"> </w:t>
      </w:r>
      <w:r>
        <w:rPr>
          <w:i/>
        </w:rPr>
        <w:t xml:space="preserve">Frontiers in Ecology and the Environment</w:t>
      </w:r>
      <w:r>
        <w:t xml:space="preserve">,</w:t>
      </w:r>
      <w:r>
        <w:t xml:space="preserve"> </w:t>
      </w:r>
      <w:r>
        <w:rPr>
          <w:i/>
        </w:rPr>
        <w:t xml:space="preserve">11</w:t>
      </w:r>
      <w:r>
        <w:t xml:space="preserve">(3), 156–162.</w:t>
      </w:r>
    </w:p>
    <w:bookmarkEnd w:id="51"/>
    <w:bookmarkStart w:id="53" w:name="ref-kristensen2015"/>
    <w:p>
      <w:pPr>
        <w:pStyle w:val="Bibliography"/>
      </w:pPr>
      <w:r>
        <w:t xml:space="preserve">Kristensen, K., Nielsen, A., Berg, C., Skaug, H., &amp; Bell, B. (2016). TMB: Automatic differentiation and laplace approximation.</w:t>
      </w:r>
      <w:r>
        <w:t xml:space="preserve"> </w:t>
      </w:r>
      <w:r>
        <w:rPr>
          <w:i/>
        </w:rPr>
        <w:t xml:space="preserve">Journal of Statistical Software</w:t>
      </w:r>
      <w:r>
        <w:t xml:space="preserve">,</w:t>
      </w:r>
      <w:r>
        <w:t xml:space="preserve"> </w:t>
      </w:r>
      <w:r>
        <w:rPr>
          <w:i/>
        </w:rPr>
        <w:t xml:space="preserve">70</w:t>
      </w:r>
      <w:r>
        <w:t xml:space="preserve">(5), 1–21.</w:t>
      </w:r>
      <w:r>
        <w:t xml:space="preserve"> </w:t>
      </w:r>
      <w:hyperlink r:id="rId52">
        <w:r>
          <w:rPr>
            <w:rStyle w:val="Hyperlink"/>
          </w:rPr>
          <w:t xml:space="preserve">https://doi.org/10.18637/jss.v070.i05</w:t>
        </w:r>
      </w:hyperlink>
    </w:p>
    <w:bookmarkEnd w:id="53"/>
    <w:bookmarkStart w:id="54" w:name="ref-leek2015b"/>
    <w:p>
      <w:pPr>
        <w:pStyle w:val="Bibliography"/>
      </w:pPr>
      <w:r>
        <w:t xml:space="preserve">Leek, J. T., &amp; Peng, R. D. (2015a). Reproducible research can still be wrong: Adopting a prevention approach.</w:t>
      </w:r>
      <w:r>
        <w:t xml:space="preserve"> </w:t>
      </w:r>
      <w:r>
        <w:rPr>
          <w:i/>
        </w:rPr>
        <w:t xml:space="preserve">Proceedings of the National Academy of Sciences</w:t>
      </w:r>
      <w:r>
        <w:t xml:space="preserve">,</w:t>
      </w:r>
      <w:r>
        <w:t xml:space="preserve"> </w:t>
      </w:r>
      <w:r>
        <w:rPr>
          <w:i/>
        </w:rPr>
        <w:t xml:space="preserve">112</w:t>
      </w:r>
      <w:r>
        <w:t xml:space="preserve">(6), 1645–1646.</w:t>
      </w:r>
    </w:p>
    <w:bookmarkEnd w:id="54"/>
    <w:bookmarkStart w:id="55" w:name="ref-leek2015a"/>
    <w:p>
      <w:pPr>
        <w:pStyle w:val="Bibliography"/>
      </w:pPr>
      <w:r>
        <w:t xml:space="preserve">Leek, J. T., &amp; Peng, R. D. (2015b). Statistics: P values are just the tip of the iceberg.</w:t>
      </w:r>
      <w:r>
        <w:t xml:space="preserve"> </w:t>
      </w:r>
      <w:r>
        <w:rPr>
          <w:i/>
        </w:rPr>
        <w:t xml:space="preserve">Nature News</w:t>
      </w:r>
      <w:r>
        <w:t xml:space="preserve">,</w:t>
      </w:r>
      <w:r>
        <w:t xml:space="preserve"> </w:t>
      </w:r>
      <w:r>
        <w:rPr>
          <w:i/>
        </w:rPr>
        <w:t xml:space="preserve">520</w:t>
      </w:r>
      <w:r>
        <w:t xml:space="preserve">(7549), 612.</w:t>
      </w:r>
    </w:p>
    <w:bookmarkEnd w:id="55"/>
    <w:bookmarkStart w:id="56" w:name="ref-lewis2018"/>
    <w:p>
      <w:pPr>
        <w:pStyle w:val="Bibliography"/>
      </w:pPr>
      <w:r>
        <w:t xml:space="preserve">Lewis, K. P., Vander Wal, E., &amp; Fifield, D. A. (2018). Wildlife biology, big data, and reproducible research.</w:t>
      </w:r>
      <w:r>
        <w:t xml:space="preserve"> </w:t>
      </w:r>
      <w:r>
        <w:rPr>
          <w:i/>
        </w:rPr>
        <w:t xml:space="preserve">Wildlife Society Bulletin</w:t>
      </w:r>
      <w:r>
        <w:t xml:space="preserve">,</w:t>
      </w:r>
      <w:r>
        <w:t xml:space="preserve"> </w:t>
      </w:r>
      <w:r>
        <w:rPr>
          <w:i/>
        </w:rPr>
        <w:t xml:space="preserve">42</w:t>
      </w:r>
      <w:r>
        <w:t xml:space="preserve">(1), 172–179.</w:t>
      </w:r>
    </w:p>
    <w:bookmarkEnd w:id="56"/>
    <w:bookmarkStart w:id="57" w:name="ref-link1999"/>
    <w:p>
      <w:pPr>
        <w:pStyle w:val="Bibliography"/>
      </w:pPr>
      <w:r>
        <w:t xml:space="preserve">Link, W. A. (1999). Modeling pattern in collections of parameters.</w:t>
      </w:r>
      <w:r>
        <w:t xml:space="preserve"> </w:t>
      </w:r>
      <w:r>
        <w:rPr>
          <w:i/>
        </w:rPr>
        <w:t xml:space="preserve">The Journal of Wildlife Management</w:t>
      </w:r>
      <w:r>
        <w:t xml:space="preserve">,</w:t>
      </w:r>
      <w:r>
        <w:t xml:space="preserve"> </w:t>
      </w:r>
      <w:r>
        <w:rPr>
          <w:i/>
        </w:rPr>
        <w:t xml:space="preserve">63</w:t>
      </w:r>
      <w:r>
        <w:t xml:space="preserve">(3), 1017–1027.</w:t>
      </w:r>
    </w:p>
    <w:bookmarkEnd w:id="57"/>
    <w:bookmarkStart w:id="58" w:name="ref-maunder2013"/>
    <w:p>
      <w:pPr>
        <w:pStyle w:val="Bibliography"/>
      </w:pPr>
      <w:r>
        <w:t xml:space="preserve">Maunder, M. N., &amp; Punt, A. E. (2013). A review of integrated analysis in fisheries stock assessment.</w:t>
      </w:r>
      <w:r>
        <w:t xml:space="preserve"> </w:t>
      </w:r>
      <w:r>
        <w:rPr>
          <w:i/>
        </w:rPr>
        <w:t xml:space="preserve">Fisheries Research</w:t>
      </w:r>
      <w:r>
        <w:t xml:space="preserve">,</w:t>
      </w:r>
      <w:r>
        <w:t xml:space="preserve"> </w:t>
      </w:r>
      <w:r>
        <w:rPr>
          <w:i/>
        </w:rPr>
        <w:t xml:space="preserve">142</w:t>
      </w:r>
      <w:r>
        <w:t xml:space="preserve">, 61–74.</w:t>
      </w:r>
    </w:p>
    <w:bookmarkEnd w:id="58"/>
    <w:bookmarkStart w:id="59" w:name="ref-plummer2003"/>
    <w:p>
      <w:pPr>
        <w:pStyle w:val="Bibliography"/>
      </w:pPr>
      <w:r>
        <w:t xml:space="preserve">Plummer, M. (2003). JAGS: A program for analysis of bayesian graphical models using gibbs sampling.</w:t>
      </w:r>
      <w:r>
        <w:t xml:space="preserve"> </w:t>
      </w:r>
      <w:r>
        <w:rPr>
          <w:i/>
        </w:rPr>
        <w:t xml:space="preserve">Proceedings of the 3rd international workshop on distributed statistical computing</w:t>
      </w:r>
      <w:r>
        <w:t xml:space="preserve">,</w:t>
      </w:r>
      <w:r>
        <w:t xml:space="preserve"> </w:t>
      </w:r>
      <w:r>
        <w:rPr>
          <w:i/>
        </w:rPr>
        <w:t xml:space="preserve">124</w:t>
      </w:r>
      <w:r>
        <w:t xml:space="preserve">. Vienna, Austria.</w:t>
      </w:r>
    </w:p>
    <w:bookmarkEnd w:id="59"/>
    <w:bookmarkStart w:id="61" w:name="ref-R"/>
    <w:p>
      <w:pPr>
        <w:pStyle w:val="Bibliography"/>
      </w:pPr>
      <w:r>
        <w:t xml:space="preserve">R Core Team. (2017).</w:t>
      </w:r>
      <w:r>
        <w:t xml:space="preserve"> </w:t>
      </w:r>
      <w:r>
        <w:rPr>
          <w:i/>
        </w:rPr>
        <w:t xml:space="preserve">R: A language and environment for statistical computing</w:t>
      </w:r>
      <w:r>
        <w:t xml:space="preserve">. Retrieved from</w:t>
      </w:r>
      <w:r>
        <w:t xml:space="preserve"> </w:t>
      </w:r>
      <w:hyperlink r:id="rId60">
        <w:r>
          <w:rPr>
            <w:rStyle w:val="Hyperlink"/>
          </w:rPr>
          <w:t xml:space="preserve">https://www.R-project.org/</w:t>
        </w:r>
      </w:hyperlink>
    </w:p>
    <w:bookmarkEnd w:id="61"/>
    <w:bookmarkStart w:id="63" w:name="ref-Rstudio"/>
    <w:p>
      <w:pPr>
        <w:pStyle w:val="Bibliography"/>
      </w:pPr>
      <w:r>
        <w:t xml:space="preserve">RStudio Team. (2015).</w:t>
      </w:r>
      <w:r>
        <w:t xml:space="preserve"> </w:t>
      </w:r>
      <w:r>
        <w:rPr>
          <w:i/>
        </w:rPr>
        <w:t xml:space="preserve">RStudio: Integrated development environment for r</w:t>
      </w:r>
      <w:r>
        <w:t xml:space="preserve">. Retrieved from</w:t>
      </w:r>
      <w:r>
        <w:t xml:space="preserve"> </w:t>
      </w:r>
      <w:hyperlink r:id="rId62">
        <w:r>
          <w:rPr>
            <w:rStyle w:val="Hyperlink"/>
          </w:rPr>
          <w:t xml:space="preserve">http://www.rstudio.com/</w:t>
        </w:r>
      </w:hyperlink>
    </w:p>
    <w:bookmarkEnd w:id="63"/>
    <w:bookmarkStart w:id="65" w:name="ref-sievert2018"/>
    <w:p>
      <w:pPr>
        <w:pStyle w:val="Bibliography"/>
      </w:pPr>
      <w:r>
        <w:t xml:space="preserve">Sievert, C. (2018).</w:t>
      </w:r>
      <w:r>
        <w:t xml:space="preserve"> </w:t>
      </w:r>
      <w:r>
        <w:rPr>
          <w:i/>
        </w:rPr>
        <w:t xml:space="preserve">Plotly for R</w:t>
      </w:r>
      <w:r>
        <w:t xml:space="preserve">. Retrieved from</w:t>
      </w:r>
      <w:r>
        <w:t xml:space="preserve"> </w:t>
      </w:r>
      <w:hyperlink r:id="rId64">
        <w:r>
          <w:rPr>
            <w:rStyle w:val="Hyperlink"/>
          </w:rPr>
          <w:t xml:space="preserve">https://plotly-book.cpsievert.me</w:t>
        </w:r>
      </w:hyperlink>
    </w:p>
    <w:bookmarkEnd w:id="65"/>
    <w:bookmarkStart w:id="66" w:name="ref-taggart1995"/>
    <w:p>
      <w:pPr>
        <w:pStyle w:val="Bibliography"/>
      </w:pPr>
      <w:r>
        <w:t xml:space="preserve">Taggart, C., Penney, P., Barrowman, N., &amp; George, C. (1995). The 1954-1993 Newfoundland cod tagging database: Statistical summaries and spatial-temporal dynamics.</w:t>
      </w:r>
      <w:r>
        <w:t xml:space="preserve"> </w:t>
      </w:r>
      <w:r>
        <w:rPr>
          <w:i/>
        </w:rPr>
        <w:t xml:space="preserve">Canadian Technical Report of Fisheries and Aquatic Sciences</w:t>
      </w:r>
      <w:r>
        <w:t xml:space="preserve">,</w:t>
      </w:r>
      <w:r>
        <w:t xml:space="preserve"> </w:t>
      </w:r>
      <w:r>
        <w:rPr>
          <w:i/>
        </w:rPr>
        <w:t xml:space="preserve">2042</w:t>
      </w:r>
      <w:r>
        <w:t xml:space="preserve">.</w:t>
      </w:r>
    </w:p>
    <w:bookmarkEnd w:id="66"/>
    <w:bookmarkEnd w:id="67"/>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995082">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hyperlink" Id="rId62" Target="http://www.rstudio.com/" TargetMode="External" /><Relationship Type="http://schemas.openxmlformats.org/officeDocument/2006/relationships/hyperlink" Id="rId41" Target="https://CRAN.R-project.org/package=crosstalk" TargetMode="External" /><Relationship Type="http://schemas.openxmlformats.org/officeDocument/2006/relationships/hyperlink" Id="rId31" Target="https://CRAN.R-project.org/package=flexdashboard" TargetMode="External" /><Relationship Type="http://schemas.openxmlformats.org/officeDocument/2006/relationships/hyperlink" Id="rId43" Target="https://CRAN.R-project.org/package=leaflet" TargetMode="External" /><Relationship Type="http://schemas.openxmlformats.org/officeDocument/2006/relationships/hyperlink" Id="rId33" Target="https://CRAN.R-project.org/package=markdown" TargetMode="External" /><Relationship Type="http://schemas.openxmlformats.org/officeDocument/2006/relationships/hyperlink" Id="rId39" Target="https://CRAN.R-project.org/package=shiny" TargetMode="External" /><Relationship Type="http://schemas.openxmlformats.org/officeDocument/2006/relationships/hyperlink" Id="rId37" Target="https://CRAN.R-project.org/package=shinydashboard" TargetMode="External" /><Relationship Type="http://schemas.openxmlformats.org/officeDocument/2006/relationships/hyperlink" Id="rId48" Target="https://doi.org/10.1511/2014.111.460" TargetMode="External" /><Relationship Type="http://schemas.openxmlformats.org/officeDocument/2006/relationships/hyperlink" Id="rId52" Target="https://doi.org/10.18637/jss.v070.i05" TargetMode="External" /><Relationship Type="http://schemas.openxmlformats.org/officeDocument/2006/relationships/hyperlink" Id="rId21" Target="https://github.com/Leaflet/Leaflet.markercluster" TargetMode="External" /><Relationship Type="http://schemas.openxmlformats.org/officeDocument/2006/relationships/hyperlink" Id="rId64" Target="https://plotly-book.cpsievert.me" TargetMode="External" /><Relationship Type="http://schemas.openxmlformats.org/officeDocument/2006/relationships/hyperlink" Id="rId60"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62" Target="http://www.rstudio.com/" TargetMode="External" /><Relationship Type="http://schemas.openxmlformats.org/officeDocument/2006/relationships/hyperlink" Id="rId41" Target="https://CRAN.R-project.org/package=crosstalk" TargetMode="External" /><Relationship Type="http://schemas.openxmlformats.org/officeDocument/2006/relationships/hyperlink" Id="rId31" Target="https://CRAN.R-project.org/package=flexdashboard" TargetMode="External" /><Relationship Type="http://schemas.openxmlformats.org/officeDocument/2006/relationships/hyperlink" Id="rId43" Target="https://CRAN.R-project.org/package=leaflet" TargetMode="External" /><Relationship Type="http://schemas.openxmlformats.org/officeDocument/2006/relationships/hyperlink" Id="rId33" Target="https://CRAN.R-project.org/package=markdown" TargetMode="External" /><Relationship Type="http://schemas.openxmlformats.org/officeDocument/2006/relationships/hyperlink" Id="rId39" Target="https://CRAN.R-project.org/package=shiny" TargetMode="External" /><Relationship Type="http://schemas.openxmlformats.org/officeDocument/2006/relationships/hyperlink" Id="rId37" Target="https://CRAN.R-project.org/package=shinydashboard" TargetMode="External" /><Relationship Type="http://schemas.openxmlformats.org/officeDocument/2006/relationships/hyperlink" Id="rId48" Target="https://doi.org/10.1511/2014.111.460" TargetMode="External" /><Relationship Type="http://schemas.openxmlformats.org/officeDocument/2006/relationships/hyperlink" Id="rId52" Target="https://doi.org/10.18637/jss.v070.i05" TargetMode="External" /><Relationship Type="http://schemas.openxmlformats.org/officeDocument/2006/relationships/hyperlink" Id="rId21" Target="https://github.com/Leaflet/Leaflet.markercluster" TargetMode="External" /><Relationship Type="http://schemas.openxmlformats.org/officeDocument/2006/relationships/hyperlink" Id="rId64" Target="https://plotly-book.cpsievert.me" TargetMode="External" /><Relationship Type="http://schemas.openxmlformats.org/officeDocument/2006/relationships/hyperlink" Id="rId60" Target="https://www.R-project.org/"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Keith P. Lewis</dc:creator>
  <cp:keywords/>
  <dcterms:created xsi:type="dcterms:W3CDTF">2019-05-14T15:03:44Z</dcterms:created>
  <dcterms:modified xsi:type="dcterms:W3CDTF">2019-05-14T15:03:44Z</dcterms:modified>
</cp:coreProperties>
</file>

<file path=docProps/custom.xml><?xml version="1.0" encoding="utf-8"?>
<Properties xmlns="http://schemas.openxmlformats.org/officeDocument/2006/custom-properties" xmlns:vt="http://schemas.openxmlformats.org/officeDocument/2006/docPropsVTypes"/>
</file>