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In the age of data-intensive science and big data, scientists across many fields are faced with the challenge of synthesizing and communicating information from large and complex data sets. Scientific data are often presented as tabular summaries and static plots, however, seeing patterns in tables can be difficult and static plots are divorced from the underlying data. This limits our ability to explore the underlying data in more detail by, for instance, zooming into areas of interest. New open source tools are bridging this gap by making it easier to build interactive figures</w:t>
      </w:r>
      <w:r>
        <w:t xml:space="preserve"> </w:t>
      </w:r>
      <w:r>
        <w:t xml:space="preserve">(Perkel 2018)</w:t>
      </w:r>
      <w:r>
        <w:t xml:space="preserve">. In particular, browser-based data visualizations have been playing an increasing prominent role in communicating information on a wide range of topics. Interactive graphics are frequently utilized by media outlets, such as the New York Times, and scientists from a wide range of disciplines are starting to apply interactive visualization tools to explore and communicate their results</w:t>
      </w:r>
      <w:r>
        <w:t xml:space="preserve"> </w:t>
      </w:r>
      <w:r>
        <w:t xml:space="preserve">(Yeatman et al. 2018; Tushar and Reich 2017; Wick et al. 2015)</w:t>
      </w:r>
      <w:r>
        <w:t xml:space="preserve">. This trend has been fuled by the development of JavaScript libraries (e.g. D</w:t>
      </w:r>
      <w:r>
        <w:rPr>
          <w:vertAlign w:val="superscript"/>
        </w:rPr>
        <w:t xml:space="preserve">3</w:t>
      </w:r>
      <w:r>
        <w:t xml:space="preserve"> </w:t>
      </w:r>
      <w:r>
        <w:t xml:space="preserve">(Bostock, Ogievetsky, and Heer 2011)</w:t>
      </w:r>
      <w:r>
        <w:t xml:space="preserve">, plotly</w:t>
      </w:r>
      <w:r>
        <w:t xml:space="preserve"> </w:t>
      </w:r>
      <w:r>
        <w:t xml:space="preserve">(Inc. 2015)</w:t>
      </w:r>
      <w:r>
        <w:t xml:space="preserve">, leaflet</w:t>
      </w:r>
      <w:r>
        <w:t xml:space="preserve"> </w:t>
      </w:r>
      <w:r>
        <w:t xml:space="preserve">(Leaflet 2015)</w:t>
      </w:r>
      <w:r>
        <w:t xml:space="preserve">, highcharts</w:t>
      </w:r>
      <w:r>
        <w:t xml:space="preserve"> </w:t>
      </w:r>
      <w:r>
        <w:t xml:space="preserve">(Highsoft 2015)</w:t>
      </w:r>
      <w:r>
        <w:t xml:space="preserve">) that enable the production of dynamic and interactive data visualizations in modern web-browsers. Interfaces to JavaScript libraries have also been developed to allow interactive plots to be coded using commonly used languages such as R</w:t>
      </w:r>
      <w:r>
        <w:t xml:space="preserve"> </w:t>
      </w:r>
      <w:r>
        <w:t xml:space="preserve">(R Core Team 2017)</w:t>
      </w:r>
      <w:r>
        <w:t xml:space="preserve"> </w:t>
      </w:r>
      <w:r>
        <w:t xml:space="preserve">or Python</w:t>
      </w:r>
      <w:r>
        <w:t xml:space="preserve"> </w:t>
      </w:r>
      <w:r>
        <w:t xml:space="preserve">(Foundation 2010)</w:t>
      </w:r>
      <w:r>
        <w:t xml:space="preserve">.</w:t>
      </w:r>
    </w:p>
    <w:p>
      <w:pPr>
        <w:pStyle w:val="BodyText"/>
      </w:pPr>
      <w:r>
        <w:t xml:space="preserve">You need to find a segue to stock assessment</w:t>
      </w:r>
    </w:p>
    <w:p>
      <w:pPr>
        <w:pStyle w:val="BodyText"/>
      </w:pPr>
      <w:r>
        <w:t xml:space="preserve">These new tools are starting to match or exceed the abilities of most platform-specific software and, as such, they are ushering in a</w:t>
      </w:r>
    </w:p>
    <w:p>
      <w:pPr>
        <w:pStyle w:val="BodyText"/>
      </w:pPr>
      <w:r>
        <w:t xml:space="preserve">JavaScript libraries, such as D</w:t>
      </w:r>
      <w:r>
        <w:rPr>
          <w:vertAlign w:val="superscript"/>
        </w:rPr>
        <w:t xml:space="preserve">3</w:t>
      </w:r>
      <w:r>
        <w:t xml:space="preserve"> </w:t>
      </w:r>
      <w:r>
        <w:t xml:space="preserve">(Bostock, Ogievetsky, and Heer 2011)</w:t>
      </w:r>
      <w:r>
        <w:t xml:space="preserve">, for visualizing data on modern web-browsers now match or exceed the abilities of most platform-specific software and the development of high-level libraries … plotly … python … R … leaflet</w:t>
      </w:r>
    </w:p>
    <w:p>
      <w:pPr>
        <w:pStyle w:val="BodyText"/>
      </w:pPr>
      <w:r>
        <w:t xml:space="preserve">A primary role of stock assessment is to provide fisheries managers with the information needed to adequately manage a fishery. Stock assessment involves the use of various sources of data and statistical methods to determine the status of one or more fish stocks and to make quantitative predictions of the consequences of different management choices</w:t>
      </w:r>
      <w:r>
        <w:t xml:space="preserve"> </w:t>
      </w:r>
      <w:r>
        <w:t xml:space="preserve">(Hilborn and Walters 1992)</w:t>
      </w:r>
      <w:r>
        <w:t xml:space="preserve">. A wide array data may be collected for an assessment and, formally, an assessment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w:t>
      </w:r>
    </w:p>
    <w:p>
      <w:pPr>
        <w:pStyle w:val="BodyText"/>
      </w:pPr>
      <w:r>
        <w:t xml:space="preserve">The data sets used in stock assessments are constantly growing. This growth in data either stems from the continuation of long-term monitoring efforts or from the addition of new monitoring programs. As such, stock assessment biologists often have to manage large volumes of data from a variety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multidimensional and as the volume and variety of these data increases, it becomes more difficult to be aware of the details of each data set and to synthesize the results.</w:t>
      </w:r>
    </w:p>
    <w:p>
      <w:pPr>
        <w:pStyle w:val="BodyText"/>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 Such issues have largely been curtailed in contemporary stock assessments thanks to advances in software that have facilitated the analysis of all available data, in as raw a form as appropriate, in a single integrated analysis</w:t>
      </w:r>
      <w:r>
        <w:t xml:space="preserve"> </w:t>
      </w:r>
      <w:r>
        <w:t xml:space="preserve">(Maunder and Punt 2013)</w:t>
      </w:r>
      <w:r>
        <w:t xml:space="preserve">. Specifically, the application of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w:t>
      </w:r>
      <w:r>
        <w:t xml:space="preserve">allow the construction of a joint likelihood for an array of observations to, in theory, extract as much information as possible about the biological and fishery processes. However, integrated analyses are not a panacea because model misspecifications and data conflicts are an inevitable consequence of simplifying reality to a small series of equations</w:t>
      </w:r>
      <w:r>
        <w:t xml:space="preserve"> </w:t>
      </w:r>
      <w:r>
        <w:t xml:space="preserve">(Maunder and Piner 2017)</w:t>
      </w:r>
      <w:r>
        <w:t xml:space="preserve">. A potential solution to this quandary to use a superensemble model, whereby multiple models with different structures are run and their predictions are supplied as covariates to an additional superensemble model</w:t>
      </w:r>
      <w:r>
        <w:t xml:space="preserve"> </w:t>
      </w:r>
      <w:r>
        <w:t xml:space="preserve">(Anderson et al. 2017)</w:t>
      </w:r>
      <w:r>
        <w:t xml:space="preserve">. Ensemble approaches reduce the risk of picking the</w:t>
      </w:r>
      <w:r>
        <w:t xml:space="preserve"> </w:t>
      </w:r>
      <w:r>
        <w:t xml:space="preserve">“</w:t>
      </w:r>
      <w:r>
        <w:t xml:space="preserve">wrong</w:t>
      </w:r>
      <w:r>
        <w:t xml:space="preserve">”</w:t>
      </w:r>
      <w:r>
        <w:t xml:space="preserve"> </w:t>
      </w:r>
      <w:r>
        <w:t xml:space="preserve">model and also expands the range of hypotheses explored</w:t>
      </w:r>
      <w:r>
        <w:t xml:space="preserve"> </w:t>
      </w:r>
      <w:r>
        <w:t xml:space="preserve">(Dietterich 2000)</w:t>
      </w:r>
      <w:r>
        <w:t xml:space="preserve">. These advances greatly improve our ability to assess the status and trends of fish populations, however, modern stock assessment biologists are now faced with the overwhelming task of understanding an ever expanding array of data inputs and model outputs.</w:t>
      </w:r>
    </w:p>
    <w:p>
      <w:pPr>
        <w:pStyle w:val="BodyText"/>
      </w:pPr>
      <w:r>
        <w:t xml:space="preserve">In this data-intensive era of stock assessment, one of the difficulties becomes visualizing the inputs and outputs to integrated stock assessment models. The standard approach has been to create a series of tables and static plots to help assess the inputs and model fits. Data presented in tables is incredibly valuable, but as human beings, seeing patterns can be challenging. Static figures, in contrast, help reveal patterns but they are divorced from the underlying data and, as such, limit detailed explorations. New tools are bridging this gap by making it easier to build interactive figures</w:t>
      </w:r>
      <w:r>
        <w:t xml:space="preserve"> </w:t>
      </w:r>
      <w:r>
        <w:t xml:space="preserve">(Perkel 2018)</w:t>
      </w:r>
      <w:r>
        <w:t xml:space="preserve">.</w:t>
      </w:r>
    </w:p>
    <w:p>
      <w:pPr>
        <w:pStyle w:val="BodyText"/>
      </w:pPr>
      <w:r>
        <w:t xml:space="preserve">Interactive visuals…visual representation of the data and model that help us interpret complex data at a glance</w:t>
      </w:r>
      <w:r>
        <w:t xml:space="preserve"> </w:t>
      </w:r>
      <w:hyperlink r:id="rId22">
        <w:r>
          <w:rPr>
            <w:rStyle w:val="Hyperlink"/>
          </w:rPr>
          <w:t xml:space="preserve">https://campus.sagepub.com/blog/3-benefits-of-interactive-visualization</w:t>
        </w:r>
      </w:hyperlink>
    </w:p>
    <w:p>
      <w:pPr>
        <w:pStyle w:val="BodyText"/>
      </w:pPr>
      <w:hyperlink r:id="rId23">
        <w:r>
          <w:rPr>
            <w:rStyle w:val="Hyperlink"/>
          </w:rPr>
          <w:t xml:space="preserve">https://centricdigital.com/blog/digital-trends/the-value-of-interactive-data-visualization-and-why-it-matters-to-business/</w:t>
        </w:r>
      </w:hyperlink>
    </w:p>
    <w:p>
      <w:pPr>
        <w:pStyle w:val="BodyText"/>
      </w:pPr>
      <w:r>
        <w:t xml:space="preserve">Good example from Keith:</w:t>
      </w:r>
      <w:r>
        <w:t xml:space="preserve"> </w:t>
      </w:r>
      <w:hyperlink r:id="rId24">
        <w:r>
          <w:rPr>
            <w:rStyle w:val="Hyperlink"/>
          </w:rPr>
          <w:t xml:space="preserve">https://www.nature.com/articles/s41467-018-03297-7</w:t>
        </w:r>
      </w:hyperlink>
    </w:p>
    <w:p>
      <w:pPr>
        <w:pStyle w:val="BodyText"/>
      </w:pPr>
      <w:hyperlink r:id="rId25">
        <w:r>
          <w:rPr>
            <w:rStyle w:val="Hyperlink"/>
          </w:rPr>
          <w:t xml:space="preserve">https://esajournals.onlinelibrary.wiley.com/doi/full/10.1890/120103</w:t>
        </w:r>
      </w:hyperlink>
    </w:p>
    <w:p>
      <w:pPr>
        <w:pStyle w:val="BodyText"/>
      </w:pPr>
      <w:hyperlink r:id="rId26">
        <w:r>
          <w:rPr>
            <w:rStyle w:val="Hyperlink"/>
          </w:rPr>
          <w:t xml:space="preserve">https://www.nature.com/articles/d41586-018-01322-9</w:t>
        </w:r>
      </w:hyperlink>
    </w:p>
    <w:p>
      <w:pPr>
        <w:pStyle w:val="Heading1"/>
      </w:pPr>
      <w:bookmarkStart w:id="27" w:name="references"/>
      <w:bookmarkEnd w:id="27"/>
      <w:r>
        <w:t xml:space="preserve">References</w:t>
      </w:r>
    </w:p>
    <w:p>
      <w:pPr>
        <w:pStyle w:val="Bibliography"/>
      </w:pPr>
      <w:r>
        <w:t xml:space="preserve">Anderson, Sean C, Andrew B Cooper, Olaf P Jensen, Cóilín Minto, James T Thorson, Jessica C Walsh, Jamie Afflerbach, et al. 2017. “Improving Estimates of Population Status and Trend with Superensemble Models.”</w:t>
      </w:r>
      <w:r>
        <w:t xml:space="preserve"> </w:t>
      </w:r>
      <w:r>
        <w:rPr>
          <w:i/>
        </w:rPr>
        <w:t xml:space="preserve">Fish and Fisheries</w:t>
      </w:r>
      <w:r>
        <w:t xml:space="preserve"> </w:t>
      </w:r>
      <w:r>
        <w:t xml:space="preserve">18 (4). Wiley Online Library: 732–41.</w:t>
      </w:r>
    </w:p>
    <w:p>
      <w:pPr>
        <w:pStyle w:val="Bibliography"/>
      </w:pPr>
      <w:r>
        <w:t xml:space="preserve">Bostock, Michael, Vadim Ogievetsky, and Jeffrey Heer. 2011. “D</w:t>
      </w:r>
      <m:oMath>
        <m:sSup>
          <m:e>
            <m:r>
              <m:t/>
            </m:r>
          </m:e>
          <m:sup>
            <m:r>
              <m:t>3</m:t>
            </m:r>
          </m:sup>
        </m:sSup>
      </m:oMath>
      <w:r>
        <w:t xml:space="preserve"> </w:t>
      </w:r>
      <w:r>
        <w:t xml:space="preserve">Data-Driven Documents.”</w:t>
      </w:r>
      <w:r>
        <w:t xml:space="preserve"> </w:t>
      </w:r>
      <w:r>
        <w:rPr>
          <w:i/>
        </w:rPr>
        <w:t xml:space="preserve">IEEE Transactions on Visualization &amp; Computer Graphics</w:t>
      </w:r>
      <w:r>
        <w:t xml:space="preserve">, no. 12. IEEE: 2301–9.</w:t>
      </w:r>
    </w:p>
    <w:p>
      <w:pPr>
        <w:pStyle w:val="Bibliography"/>
      </w:pPr>
      <w:r>
        <w:t xml:space="preserve">Dietterich, Thomas G. 2000. “Ensemble Methods in Machine Learning.” In</w:t>
      </w:r>
      <w:r>
        <w:t xml:space="preserve"> </w:t>
      </w:r>
      <w:r>
        <w:rPr>
          <w:i/>
        </w:rPr>
        <w:t xml:space="preserve">International Workshop on Multiple Classifier Systems</w:t>
      </w:r>
      <w:r>
        <w:t xml:space="preserve">, 1–15. Springer.</w:t>
      </w:r>
    </w:p>
    <w:p>
      <w:pPr>
        <w:pStyle w:val="Bibliography"/>
      </w:pPr>
      <w:r>
        <w:t xml:space="preserve">Foundation, Python Software. 2010. “Python Language Reference, Version 2.7.” Python Software Foundation Wilmington, DE.</w:t>
      </w:r>
    </w:p>
    <w:p>
      <w:pPr>
        <w:pStyle w:val="Bibliography"/>
      </w:pPr>
      <w:r>
        <w:t xml:space="preserve">Fournier, David A, Hans J Skaug, Johnoel Ancheta, James Ianelli, Arni Magnusson, Mark N Maunder, Anders Nielsen, and John Sibert. 2012. “AD Model Builder: Using Automatic Differentiation for Statistical Inference of Highly Parameterized Complex Nonlinear Models.”</w:t>
      </w:r>
      <w:r>
        <w:t xml:space="preserve"> </w:t>
      </w:r>
      <w:r>
        <w:rPr>
          <w:i/>
        </w:rPr>
        <w:t xml:space="preserve">Optimization Methods and Software</w:t>
      </w:r>
      <w:r>
        <w:t xml:space="preserve"> </w:t>
      </w:r>
      <w:r>
        <w:t xml:space="preserve">27 (2). Taylor &amp; Francis: 233–49.</w:t>
      </w:r>
    </w:p>
    <w:p>
      <w:pPr>
        <w:pStyle w:val="Bibliography"/>
      </w:pPr>
      <w:r>
        <w:t xml:space="preserve">Highsoft. 2015.</w:t>
      </w:r>
      <w:r>
        <w:t xml:space="preserve"> </w:t>
      </w:r>
      <w:hyperlink r:id="rId28">
        <w:r>
          <w:rPr>
            <w:rStyle w:val="Hyperlink"/>
          </w:rPr>
          <w:t xml:space="preserve">https://www.highcharts.com/</w:t>
        </w:r>
      </w:hyperlink>
      <w:r>
        <w:t xml:space="preserve">.</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p>
      <w:pPr>
        <w:pStyle w:val="Bibliography"/>
      </w:pPr>
      <w:r>
        <w:t xml:space="preserve">Inc., Plotly Technologies. 2015. “Collaborative Data Science.” Montreal, QC: Plotly Technologies Inc.</w:t>
      </w:r>
      <w:r>
        <w:t xml:space="preserve"> </w:t>
      </w:r>
      <w:hyperlink r:id="rId29">
        <w:r>
          <w:rPr>
            <w:rStyle w:val="Hyperlink"/>
          </w:rPr>
          <w:t xml:space="preserve">https://plot.ly</w:t>
        </w:r>
      </w:hyperlink>
      <w:r>
        <w:t xml:space="preserve">.</w:t>
      </w:r>
    </w:p>
    <w:p>
      <w:pPr>
        <w:pStyle w:val="Bibliography"/>
      </w:pPr>
      <w:r>
        <w:t xml:space="preserve">Kristensen, Kasper, Anders Nielsen, Casper W Berg, Hans Skaug, and Brad Bell. 2015. “TMB: Automatic Differentiation and Laplace Approximation.”</w:t>
      </w:r>
      <w:r>
        <w:t xml:space="preserve"> </w:t>
      </w:r>
      <w:r>
        <w:rPr>
          <w:i/>
        </w:rPr>
        <w:t xml:space="preserve">arXiv Preprint arXiv:1509.00660</w:t>
      </w:r>
      <w:r>
        <w:t xml:space="preserve">.</w:t>
      </w:r>
    </w:p>
    <w:p>
      <w:pPr>
        <w:pStyle w:val="Bibliography"/>
      </w:pPr>
      <w:r>
        <w:t xml:space="preserve">Leaflet. 2015.</w:t>
      </w:r>
      <w:r>
        <w:t xml:space="preserve"> </w:t>
      </w:r>
      <w:hyperlink r:id="rId30">
        <w:r>
          <w:rPr>
            <w:rStyle w:val="Hyperlink"/>
          </w:rPr>
          <w:t xml:space="preserve">https://leafletjs.com/</w:t>
        </w:r>
      </w:hyperlink>
      <w:r>
        <w:t xml:space="preserve">.</w:t>
      </w:r>
    </w:p>
    <w:p>
      <w:pPr>
        <w:pStyle w:val="Bibliography"/>
      </w:pPr>
      <w:r>
        <w:t xml:space="preserve">Link, William A. 1999. “Modeling Pattern in Collections of Parameters.”</w:t>
      </w:r>
      <w:r>
        <w:t xml:space="preserve"> </w:t>
      </w:r>
      <w:r>
        <w:rPr>
          <w:i/>
        </w:rPr>
        <w:t xml:space="preserve">The Journal of Wildlife Management</w:t>
      </w:r>
      <w:r>
        <w:t xml:space="preserve">. JSTOR, 1017–27.</w:t>
      </w:r>
    </w:p>
    <w:p>
      <w:pPr>
        <w:pStyle w:val="Bibliography"/>
      </w:pPr>
      <w:r>
        <w:t xml:space="preserve">Maunder, Mark N, and Kevin R Piner. 2017. “Dealing with Data Conflicts in Statistical Inference of Population Assessment Models That Integrate Information from Multiple Diverse Data Sets.”</w:t>
      </w:r>
      <w:r>
        <w:t xml:space="preserve"> </w:t>
      </w:r>
      <w:r>
        <w:rPr>
          <w:i/>
        </w:rPr>
        <w:t xml:space="preserve">Fisheries Research</w:t>
      </w:r>
      <w:r>
        <w:t xml:space="preserve"> </w:t>
      </w:r>
      <w:r>
        <w:t xml:space="preserve">192. Elsevier: 16–27.</w:t>
      </w:r>
    </w:p>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Elsevier: 61–74.</w:t>
      </w:r>
    </w:p>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p>
      <w:pPr>
        <w:pStyle w:val="Bibliography"/>
      </w:pPr>
      <w:r>
        <w:t xml:space="preserve">Perkel, Jeffrey M. 2018. “Data Visualization Tools Drive Interactivity and Reproducibility in Online Publishing.”</w:t>
      </w:r>
      <w:r>
        <w:t xml:space="preserve"> </w:t>
      </w:r>
      <w:r>
        <w:rPr>
          <w:i/>
        </w:rPr>
        <w:t xml:space="preserve">Nature</w:t>
      </w:r>
      <w:r>
        <w:t xml:space="preserve"> </w:t>
      </w:r>
      <w:r>
        <w:t xml:space="preserve">554 (7690): 133–34.</w:t>
      </w:r>
    </w:p>
    <w:p>
      <w:pPr>
        <w:pStyle w:val="Bibliography"/>
      </w:pPr>
      <w:r>
        <w:t xml:space="preserve">Plummer, Martyn, and others. 2003. “JAGS: A Program for Analysis of Bayesian Graphical Models Using Gibbs Sampling.” In</w:t>
      </w:r>
      <w:r>
        <w:t xml:space="preserve"> </w:t>
      </w:r>
      <w:r>
        <w:rPr>
          <w:i/>
        </w:rPr>
        <w:t xml:space="preserve">Proceedings of the 3rd International Workshop on Distributed Statistical Computing</w:t>
      </w:r>
      <w:r>
        <w:t xml:space="preserve">. Vol. 124. 125.10. Vienna, Austria.</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31">
        <w:r>
          <w:rPr>
            <w:rStyle w:val="Hyperlink"/>
          </w:rPr>
          <w:t xml:space="preserve">https://www.R-project.org/</w:t>
        </w:r>
      </w:hyperlink>
      <w:r>
        <w:t xml:space="preserve">.</w:t>
      </w:r>
    </w:p>
    <w:p>
      <w:pPr>
        <w:pStyle w:val="Bibliography"/>
      </w:pPr>
      <w:r>
        <w:t xml:space="preserve">Tushar, Abhinav, and Nicholas G Reich. 2017. “Flusight: Interactive Visualizations for Infectious Disease Forecasts.”</w:t>
      </w:r>
      <w:r>
        <w:t xml:space="preserve"> </w:t>
      </w:r>
      <w:r>
        <w:rPr>
          <w:i/>
        </w:rPr>
        <w:t xml:space="preserve">Journal of Open Source Software</w:t>
      </w:r>
      <w:r>
        <w:t xml:space="preserve"> </w:t>
      </w:r>
      <w:r>
        <w:t xml:space="preserve">2 (13). NIH Public Access.</w:t>
      </w:r>
    </w:p>
    <w:p>
      <w:pPr>
        <w:pStyle w:val="Bibliography"/>
      </w:pPr>
      <w:r>
        <w:t xml:space="preserve">Wick, Ryan R, Mark B Schultz, Justin Zobel, and Kathryn E Holt. 2015. “Bandage: Interactive Visualization of de Novo Genome Assemblies.”</w:t>
      </w:r>
      <w:r>
        <w:t xml:space="preserve"> </w:t>
      </w:r>
      <w:r>
        <w:rPr>
          <w:i/>
        </w:rPr>
        <w:t xml:space="preserve">Bioinformatics</w:t>
      </w:r>
      <w:r>
        <w:t xml:space="preserve"> </w:t>
      </w:r>
      <w:r>
        <w:t xml:space="preserve">31 (20). Oxford University Press: 3350–2.</w:t>
      </w:r>
    </w:p>
    <w:p>
      <w:pPr>
        <w:pStyle w:val="Bibliography"/>
      </w:pPr>
      <w:r>
        <w:t xml:space="preserve">Yeatman, Jason D, Adam Richie-Halford, Josh K Smith, Anisha Keshavan, and Ariel Rokem. 2018. “A Browser-Based Tool for Visualization and Analysis of Diffusion Mri Data.”</w:t>
      </w:r>
      <w:r>
        <w:t xml:space="preserve"> </w:t>
      </w:r>
      <w:r>
        <w:rPr>
          <w:i/>
        </w:rPr>
        <w:t xml:space="preserve">Nature Communications</w:t>
      </w:r>
      <w:r>
        <w:t xml:space="preserve"> </w:t>
      </w:r>
      <w:r>
        <w:t xml:space="preserve">9 (1). Nature Publishing Group: 940.</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7c9d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s://campus.sagepub.com/blog/3-benefits-of-interactive-visualization" TargetMode="External" /><Relationship Type="http://schemas.openxmlformats.org/officeDocument/2006/relationships/hyperlink" Id="rId23" Target="https://centricdigital.com/blog/digital-trends/the-value-of-interactive-data-visualization-and-why-it-matters-to-business/" TargetMode="External" /><Relationship Type="http://schemas.openxmlformats.org/officeDocument/2006/relationships/hyperlink" Id="rId25" Target="https://esajournals.onlinelibrary.wiley.com/doi/full/10.1890/120103" TargetMode="External" /><Relationship Type="http://schemas.openxmlformats.org/officeDocument/2006/relationships/hyperlink" Id="rId30" Target="https://leafletjs.com/" TargetMode="External" /><Relationship Type="http://schemas.openxmlformats.org/officeDocument/2006/relationships/hyperlink" Id="rId29" Target="https://plot.ly" TargetMode="External" /><Relationship Type="http://schemas.openxmlformats.org/officeDocument/2006/relationships/hyperlink" Id="rId31" Target="https://www.R-project.org/" TargetMode="External" /><Relationship Type="http://schemas.openxmlformats.org/officeDocument/2006/relationships/hyperlink" Id="rId28" Target="https://www.highcharts.com/" TargetMode="External" /><Relationship Type="http://schemas.openxmlformats.org/officeDocument/2006/relationships/hyperlink" Id="rId26" Target="https://www.nature.com/articles/d41586-018-01322-9" TargetMode="External" /><Relationship Type="http://schemas.openxmlformats.org/officeDocument/2006/relationships/hyperlink" Id="rId24" Target="https://www.nature.com/articles/s41467-018-03297-7" TargetMode="External" /></Relationships>
</file>

<file path=word/_rels/footnotes.xml.rels><?xml version="1.0" encoding="UTF-8"?>
<Relationships xmlns="http://schemas.openxmlformats.org/package/2006/relationships"><Relationship Type="http://schemas.openxmlformats.org/officeDocument/2006/relationships/hyperlink" Id="rId22" Target="https://campus.sagepub.com/blog/3-benefits-of-interactive-visualization" TargetMode="External" /><Relationship Type="http://schemas.openxmlformats.org/officeDocument/2006/relationships/hyperlink" Id="rId23" Target="https://centricdigital.com/blog/digital-trends/the-value-of-interactive-data-visualization-and-why-it-matters-to-business/" TargetMode="External" /><Relationship Type="http://schemas.openxmlformats.org/officeDocument/2006/relationships/hyperlink" Id="rId25" Target="https://esajournals.onlinelibrary.wiley.com/doi/full/10.1890/120103" TargetMode="External" /><Relationship Type="http://schemas.openxmlformats.org/officeDocument/2006/relationships/hyperlink" Id="rId30" Target="https://leafletjs.com/" TargetMode="External" /><Relationship Type="http://schemas.openxmlformats.org/officeDocument/2006/relationships/hyperlink" Id="rId29" Target="https://plot.ly" TargetMode="External" /><Relationship Type="http://schemas.openxmlformats.org/officeDocument/2006/relationships/hyperlink" Id="rId31" Target="https://www.R-project.org/" TargetMode="External" /><Relationship Type="http://schemas.openxmlformats.org/officeDocument/2006/relationships/hyperlink" Id="rId28" Target="https://www.highcharts.com/" TargetMode="External" /><Relationship Type="http://schemas.openxmlformats.org/officeDocument/2006/relationships/hyperlink" Id="rId26" Target="https://www.nature.com/articles/d41586-018-01322-9" TargetMode="External" /><Relationship Type="http://schemas.openxmlformats.org/officeDocument/2006/relationships/hyperlink" Id="rId24" Target="https://www.nature.com/articles/s41467-018-03297-7" TargetMode="External" /></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2018-10-26T12:59:52Z</dcterms:created>
  <dcterms:modified xsi:type="dcterms:W3CDTF">2018-10-26T12:59:52Z</dcterms:modified>
</cp:coreProperties>
</file>