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08F66" w14:textId="77777777" w:rsidR="00F037E2" w:rsidRDefault="00000000">
      <w:pPr>
        <w:pStyle w:val="Title"/>
      </w:pPr>
      <w:r>
        <w:t>Summing the parts: Improving population estimates using a state-space multispecies production model</w:t>
      </w:r>
    </w:p>
    <w:p w14:paraId="1F4A246F" w14:textId="77777777" w:rsidR="00F037E2" w:rsidRDefault="00000000">
      <w:pPr>
        <w:pStyle w:val="Author"/>
      </w:pPr>
      <w:r>
        <w:t>Paul M. Regular*, Mariano Koen-Alonso, M. Joanne Morgan, Pierre Pepin</w:t>
      </w:r>
      <w:r>
        <w:rPr>
          <w:vertAlign w:val="superscript"/>
        </w:rPr>
        <w:t>†</w:t>
      </w:r>
      <w:r>
        <w:t>, Rick M. Rideout</w:t>
      </w:r>
    </w:p>
    <w:p w14:paraId="7A646AC5" w14:textId="77777777" w:rsidR="00F037E2" w:rsidRDefault="00000000">
      <w:pPr>
        <w:pStyle w:val="Date"/>
      </w:pPr>
      <w:r>
        <w:t>Fisheries and Oceans Canada, Northwest Atlantic Fisheries Centre, 80 East White Hills, St. John’s, Newfoundland and Labrador, A1C 5X1, Canada</w:t>
      </w:r>
      <w:r>
        <w:br/>
      </w:r>
      <w:r>
        <w:br/>
        <w:t xml:space="preserve">*Corresponding author; E-mail: </w:t>
      </w:r>
      <w:hyperlink r:id="rId7">
        <w:r>
          <w:rPr>
            <w:rStyle w:val="Hyperlink"/>
          </w:rPr>
          <w:t>Paul.Regular@dfo-mpo.gc.ca</w:t>
        </w:r>
      </w:hyperlink>
      <w:r>
        <w:br/>
      </w:r>
      <w:r>
        <w:rPr>
          <w:vertAlign w:val="superscript"/>
        </w:rPr>
        <w:t>†</w:t>
      </w:r>
      <w:r>
        <w:t>Current address; Three Dog House, 1023 Indian Meal Line, Portugal Cove - St. Philip’s, Newfoundland and Labrador, A1M 3C4, Canada</w:t>
      </w:r>
      <w:r>
        <w:br/>
      </w:r>
      <w:r>
        <w:br/>
        <w:t>2025-02-20</w:t>
      </w:r>
    </w:p>
    <w:p w14:paraId="1B4E587D" w14:textId="77777777" w:rsidR="00F037E2"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p>
    <w:p w14:paraId="27A56730" w14:textId="77777777" w:rsidR="00F037E2" w:rsidRDefault="00000000">
      <w:pPr>
        <w:pStyle w:val="Heading1"/>
      </w:pPr>
      <w:bookmarkStart w:id="0" w:name="introduction"/>
      <w:r>
        <w:t>Introduction</w:t>
      </w:r>
    </w:p>
    <w:p w14:paraId="0F74639F" w14:textId="77777777" w:rsidR="00F037E2"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The understanding that populations produce more offspring than an environment can sustain led to the notion that the ‘surplus’ can be harvested sustainably (</w:t>
      </w:r>
      <w:hyperlink w:anchor="ref-pauly2021">
        <w:r>
          <w:rPr>
            <w:rStyle w:val="Hyperlink"/>
          </w:rPr>
          <w:t xml:space="preserve">Pauly &amp; Froese, </w:t>
        </w:r>
        <w:r>
          <w:rPr>
            <w:rStyle w:val="Hyperlink"/>
          </w:rPr>
          <w:lastRenderedPageBreak/>
          <w:t>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7F1E93AA" w14:textId="77777777" w:rsidR="00F037E2"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xml:space="preserve">) to multispecies surplus production models (e.g., </w:t>
      </w:r>
      <w:hyperlink w:anchor="ref-bundy2012">
        <w:r>
          <w:rPr>
            <w:rStyle w:val="Hyperlink"/>
          </w:rPr>
          <w:t>Bundy et al., 2012</w:t>
        </w:r>
      </w:hyperlink>
      <w:r>
        <w:t xml:space="preserve">;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frequently not available) and knowledge gaps (e.g., incomplete understanding of food-web </w:t>
      </w:r>
      <w:r>
        <w:lastRenderedPageBreak/>
        <w:t>interactions). There is therefore a need for methods to help bridge the gap between single-species and multispecies assessment in data or information poor systems.</w:t>
      </w:r>
    </w:p>
    <w:p w14:paraId="5313D6D8" w14:textId="77777777" w:rsidR="00F037E2"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germane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Using this case study, we aim to reveal species interactions, distinguish the impacts of fishing from environmental effects, and demonstrate the utility of this modeling approach. The subsequent sections of this paper will present the conceptual framework of our model, describe its application, and discuss the implications of our findings for ecosystem-based fisheries management.</w:t>
      </w:r>
    </w:p>
    <w:p w14:paraId="3B260080" w14:textId="77777777" w:rsidR="00F037E2" w:rsidRDefault="00000000">
      <w:pPr>
        <w:pStyle w:val="Heading1"/>
      </w:pPr>
      <w:bookmarkStart w:id="1" w:name="methods"/>
      <w:bookmarkEnd w:id="0"/>
      <w:r>
        <w:t>Methods</w:t>
      </w:r>
    </w:p>
    <w:p w14:paraId="3BEDF4C9" w14:textId="77777777" w:rsidR="00F037E2" w:rsidRDefault="00000000">
      <w:pPr>
        <w:pStyle w:val="Heading2"/>
      </w:pPr>
      <w:bookmarkStart w:id="2" w:name="model-formulation"/>
      <w:r>
        <w:t>Model formulation</w:t>
      </w:r>
    </w:p>
    <w:p w14:paraId="32D48508" w14:textId="77777777" w:rsidR="00F037E2" w:rsidRDefault="00000000">
      <w:pPr>
        <w:pStyle w:val="FirstParagraph"/>
      </w:pPr>
      <w:r>
        <w:t>Trends in fish populations have frequently been described using state-space production models of the form</w:t>
      </w:r>
    </w:p>
    <w:p w14:paraId="1E005EB9" w14:textId="77777777" w:rsidR="00F037E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0F3E9861" w14:textId="77777777" w:rsidR="00F037E2"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6F688B6A"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18B95AF8" w14:textId="77777777" w:rsidR="00F037E2"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xml:space="preserve">, exceeds the capacity of the system, </w:t>
      </w:r>
      <m:oMath>
        <m:sSub>
          <m:sSubPr>
            <m:ctrlPr>
              <w:rPr>
                <w:rFonts w:ascii="Cambria Math" w:hAnsi="Cambria Math"/>
              </w:rPr>
            </m:ctrlPr>
          </m:sSubPr>
          <m:e>
            <m:r>
              <w:rPr>
                <w:rFonts w:ascii="Cambria Math" w:hAnsi="Cambria Math"/>
              </w:rPr>
              <m:t>K</m:t>
            </m:r>
          </m:e>
          <m:sub>
            <m:r>
              <w:rPr>
                <w:rFonts w:ascii="Cambria Math" w:hAnsi="Cambria Math"/>
              </w:rPr>
              <m:t>Σ</m:t>
            </m:r>
          </m:sub>
        </m:sSub>
      </m:oMath>
      <w:r>
        <w:t>,</w:t>
      </w:r>
    </w:p>
    <w:p w14:paraId="19E3A082"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4C91487C" w14:textId="77777777" w:rsidR="00F037E2"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year-over-year growth of all species slows). Combining equations (1), (2), and (4), our model becomes</w:t>
      </w:r>
    </w:p>
    <w:p w14:paraId="7C968BCB" w14:textId="77777777" w:rsidR="00F037E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367DE747" w14:textId="77777777" w:rsidR="00F037E2" w:rsidRDefault="00000000">
      <w:pPr>
        <w:pStyle w:val="FirstParagraph"/>
      </w:pPr>
      <w:r>
        <w:t xml:space="preserve">The inclusion of multiple species in the model permits the estimation of covariance. While covarying changes may be apparent in the observations, we assume that most covariance stems from ecosystem processes. We therefore treat observation errors as independent and normally distributed deviations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to account for temporal dependencies driven by as ecological processes. For instance, species interactions may drive positive or negative population responses resulting from direct or indirect associations.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171E6470" w14:textId="77777777" w:rsidR="00F037E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03FFE7C5" w14:textId="77777777" w:rsidR="00F037E2" w:rsidRDefault="00000000">
      <w:pPr>
        <w:pStyle w:val="FirstParagraph"/>
      </w:pPr>
      <w:r>
        <w:lastRenderedPageBreak/>
        <w:t>and</w:t>
      </w:r>
    </w:p>
    <w:p w14:paraId="0B6B2432"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28584B69" w14:textId="77777777" w:rsidR="00F037E2"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5E51CC4A" w14:textId="77777777" w:rsidR="00F037E2"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in equation (5) with </w:t>
      </w:r>
      <m:oMath>
        <m:sSub>
          <m:sSubPr>
            <m:ctrlPr>
              <w:rPr>
                <w:rFonts w:ascii="Cambria Math" w:hAnsi="Cambria Math"/>
              </w:rPr>
            </m:ctrlPr>
          </m:sSubPr>
          <m:e>
            <m:r>
              <w:rPr>
                <w:rFonts w:ascii="Cambria Math" w:hAnsi="Cambria Math"/>
              </w:rPr>
              <m:t>K</m:t>
            </m:r>
          </m:e>
          <m:sub>
            <m:r>
              <w:rPr>
                <w:rFonts w:ascii="Cambria Math" w:hAnsi="Cambria Math"/>
              </w:rPr>
              <m:t>Σ</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w:t>
      </w:r>
      <w:r>
        <w:lastRenderedPageBreak/>
        <w:t xml:space="preserve">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rather than a system level carrying capacity,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(i.e., apply equation (3) indexed by species).</w:t>
      </w:r>
    </w:p>
    <w:p w14:paraId="03172839" w14:textId="77777777" w:rsidR="00F037E2" w:rsidRDefault="00000000">
      <w:pPr>
        <w:pStyle w:val="Heading2"/>
      </w:pPr>
      <w:bookmarkStart w:id="3" w:name="statistical-framework"/>
      <w:bookmarkEnd w:id="2"/>
      <w:r>
        <w:t>Statistical framework</w:t>
      </w:r>
    </w:p>
    <w:p w14:paraId="2A6ED76B" w14:textId="77777777" w:rsidR="00F037E2"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794AED00" w14:textId="77777777" w:rsidR="00F037E2" w:rsidRDefault="00000000">
      <w:pPr>
        <w:pStyle w:val="Heading2"/>
      </w:pPr>
      <w:bookmarkStart w:id="4" w:name="case-study"/>
      <w:bookmarkEnd w:id="3"/>
      <w:r>
        <w:t>Case study</w:t>
      </w:r>
    </w:p>
    <w:p w14:paraId="4A7314A2" w14:textId="77777777" w:rsidR="00F037E2" w:rsidRDefault="00000000">
      <w:pPr>
        <w:pStyle w:val="Heading3"/>
      </w:pPr>
      <w:bookmarkStart w:id="5" w:name="data"/>
      <w:r>
        <w:t>Data</w:t>
      </w:r>
    </w:p>
    <w:p w14:paraId="3BEB599A" w14:textId="77777777" w:rsidR="00F037E2"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w:t>
      </w:r>
      <w:r>
        <w:lastRenderedPageBreak/>
        <w:t>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4ED93F1D" w14:textId="77777777" w:rsidR="00F037E2" w:rsidRDefault="00000000">
      <w:pPr>
        <w:pStyle w:val="BodyText"/>
      </w:pPr>
      <w:r>
        <w:t>Catch data were extracted from NAFO’s STATLANT 21A database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Starting in the fall of 1995 survey gear was changed to a Campelen shrimp trawl with a small mesh codend, which allowed a broader range of species and size groups to be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w:t>
      </w:r>
      <w:r>
        <w:lastRenderedPageBreak/>
        <w:t>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by species, within each region. On the Northeast NL Shelf, the included species were Redfish spp. (</w:t>
      </w:r>
      <w:r>
        <w:rPr>
          <w:i/>
          <w:iCs/>
        </w:rPr>
        <w:t>Sebastes fasciatus</w:t>
      </w:r>
      <w:r>
        <w:t xml:space="preserve"> and </w:t>
      </w:r>
      <w:r>
        <w:rPr>
          <w:i/>
          <w:iCs/>
        </w:rPr>
        <w:t>Sebastes mentella</w:t>
      </w:r>
      <w:r>
        <w:t xml:space="preserve"> combined), Wolffish spp. (</w:t>
      </w:r>
      <w:r>
        <w:rPr>
          <w:i/>
          <w:iCs/>
        </w:rPr>
        <w:t>Anarhichas lupus</w:t>
      </w:r>
      <w:r>
        <w:t xml:space="preserve"> and </w:t>
      </w:r>
      <w:r>
        <w:rPr>
          <w:i/>
          <w:iCs/>
        </w:rPr>
        <w:t>Anarhichas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Myzopsetta ferruginea</w:t>
      </w:r>
      <w:r>
        <w:t>), American Plaice, Greenland Halibut, Haddock (</w:t>
      </w:r>
      <w:r>
        <w:rPr>
          <w:i/>
          <w:iCs/>
        </w:rPr>
        <w:t>Melanogrammus aeglefinus</w:t>
      </w:r>
      <w:r>
        <w:t>), and Atlantic Cod. Finally, along Southern NL, the species included were Redfish spp., Witch Flounder, American Plaice, White hake (</w:t>
      </w:r>
      <w:r>
        <w:rPr>
          <w:i/>
          <w:iCs/>
        </w:rPr>
        <w:t>Urophycis tenuis</w:t>
      </w:r>
      <w:r>
        <w:t>), Haddock, Atlantic Cod, and Skate spp.</w:t>
      </w:r>
    </w:p>
    <w:p w14:paraId="7F571106" w14:textId="77777777" w:rsidR="00F037E2" w:rsidRDefault="00000000">
      <w:pPr>
        <w:pStyle w:val="Heading3"/>
      </w:pPr>
      <w:bookmarkStart w:id="6" w:name="priors"/>
      <w:bookmarkEnd w:id="5"/>
      <w:r>
        <w:t>Priors</w:t>
      </w:r>
    </w:p>
    <w:p w14:paraId="4A351D0C" w14:textId="77777777" w:rsidR="00F037E2"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72A83796" w14:textId="77777777" w:rsidR="00F037E2" w:rsidRDefault="00000000">
      <w:pPr>
        <w:pStyle w:val="Heading4"/>
      </w:pPr>
      <w:bookmarkStart w:id="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3A697AB7" w14:textId="77777777" w:rsidR="00F037E2"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7B9596D1"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4C7D60C" w14:textId="77777777" w:rsidR="00F037E2"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oMath>
      <w:r>
        <w:t xml:space="preserve"> are the lower and upper values. On the lower end, this prior imposes the assumption that the fishery is unlikely to have caught the equivalent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and, on the upper end, it assumes that the maximum observed catch represents a portion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716B6997" w14:textId="77777777" w:rsidR="00F037E2" w:rsidRDefault="00000000">
      <w:pPr>
        <w:pStyle w:val="Heading4"/>
      </w:pPr>
      <w:bookmarkStart w:id="8" w:name="starting-biomass-b_1s"/>
      <w:bookmarkEnd w:id="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40BEC0E3" w14:textId="77777777" w:rsidR="00F037E2" w:rsidRDefault="00000000">
      <w:pPr>
        <w:pStyle w:val="FirstParagraph"/>
      </w:pPr>
      <w:r>
        <w:t xml:space="preserve">Like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70FAA831"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B1356EF" w14:textId="77777777" w:rsidR="00F037E2"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potential flaw with the upper value for this prior is that a lack of market demand may contradict the assumption that landings are coarsely proportional to stock size. However, the upper range chosen was considered reasonable for this case study as there was an active fishery for each species examined here at the start of the time series.</w:t>
      </w:r>
    </w:p>
    <w:p w14:paraId="0FFB07D6" w14:textId="77777777" w:rsidR="00F037E2" w:rsidRDefault="00000000">
      <w:pPr>
        <w:pStyle w:val="Heading4"/>
      </w:pPr>
      <w:bookmarkStart w:id="9" w:name="Xccfb9acb9fbb600a52636a6279610d36f06528c"/>
      <w:bookmarkEnd w:id="8"/>
      <w:r>
        <w:rPr>
          <w:i/>
          <w:iCs/>
        </w:rPr>
        <w:lastRenderedPageBreak/>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2C685DA2" w14:textId="77777777" w:rsidR="00F037E2"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3ADCCEDE" w14:textId="77777777" w:rsidR="00F037E2" w:rsidRDefault="00000000">
      <w:pPr>
        <w:pStyle w:val="BodyText"/>
      </w:pPr>
      <w:r>
        <w:t xml:space="preserve">There is little knowledge to determine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43F8EB45" w14:textId="77777777" w:rsidR="00F037E2" w:rsidRDefault="00000000">
      <w:pPr>
        <w:pStyle w:val="Heading4"/>
      </w:pPr>
      <w:bookmarkStart w:id="10" w:name="X50c46e4f9447be999e8db38f3be4dade35b6469"/>
      <w:bookmarkEnd w:id="9"/>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3F66A0FD" w14:textId="77777777" w:rsidR="00F037E2"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w:t>
      </w:r>
      <w:r>
        <w:lastRenderedPageBreak/>
        <w:t xml:space="preserve">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potential gear selectivity issues (e.g., escapement under the footgear; </w:t>
      </w:r>
      <w:hyperlink w:anchor="ref-walsh1992">
        <w:r>
          <w:rPr>
            <w:rStyle w:val="Hyperlink"/>
          </w:rPr>
          <w:t>Walsh, 1992</w:t>
        </w:r>
      </w:hyperlink>
      <w:r>
        <w:t>) and availability issues (e.g., portion of the stock in deeper water than covered by the survey). The upper inflection point was set to 1 as it is possible that the survey indices represent overestimates of the true population size in some instances.</w:t>
      </w:r>
    </w:p>
    <w:p w14:paraId="5F3AEB77" w14:textId="77777777" w:rsidR="00F037E2"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72682119"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1FCAB95D" w14:textId="77777777" w:rsidR="00F037E2"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w:t>
      </w:r>
      <w:r>
        <w:lastRenderedPageBreak/>
        <w:t>outside of the survey domain. Another two times multiplier was applied for deep-water species as they have more scope for shifting outside the survey domain.</w:t>
      </w:r>
    </w:p>
    <w:p w14:paraId="3F35F33C" w14:textId="77777777" w:rsidR="00F037E2" w:rsidRDefault="00000000">
      <w:pPr>
        <w:pStyle w:val="Heading3"/>
      </w:pPr>
      <w:bookmarkStart w:id="11" w:name="model-selection"/>
      <w:bookmarkEnd w:id="6"/>
      <w:bookmarkEnd w:id="10"/>
      <w:r>
        <w:t>Model selection</w:t>
      </w:r>
    </w:p>
    <w:p w14:paraId="13C12575" w14:textId="77777777" w:rsidR="00F037E2" w:rsidRDefault="00000000">
      <w:pPr>
        <w:pStyle w:val="FirstParagraph"/>
      </w:pPr>
      <w:r>
        <w:t>The degree to which density-dependence of the demersal fish community inhabiting the NL shelves is driven by intra versus interspecific competition is unknown.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73C6B91D" w14:textId="77777777" w:rsidR="00F037E2"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(5).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w:t>
      </w:r>
      <w:r>
        <w:lastRenderedPageBreak/>
        <w:t>the community-wide collapse to assess support for a regime shift in each systems’ capacity for the focal demersal species.</w:t>
      </w:r>
    </w:p>
    <w:p w14:paraId="29B895E8" w14:textId="77777777" w:rsidR="00F037E2"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295BAF3D" w14:textId="77777777" w:rsidR="00F037E2"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3D5E755A" w14:textId="77777777" w:rsidR="00F037E2"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6BC8CE64" w14:textId="77777777" w:rsidR="00F037E2"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11A2C439" w14:textId="77777777" w:rsidR="00F037E2"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2C4E75C8" w14:textId="77777777" w:rsidR="00F037E2"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xml:space="preserve">. That is, population dynamics are thought </w:t>
      </w:r>
      <w:r>
        <w:lastRenderedPageBreak/>
        <w:t>to be affected by a common time-invariant carrying capacity and residual variations not explained by intrinsic growth, inter-specific density-dependent effects or landings are noisy and independent across time and species. The shift covariate was not applied.</w:t>
      </w:r>
    </w:p>
    <w:p w14:paraId="5909408A" w14:textId="77777777" w:rsidR="00F037E2"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52FDC187" w14:textId="77777777" w:rsidR="00F037E2"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6BF63840" w14:textId="77777777" w:rsidR="00F037E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5FD8D1C7" w14:textId="77777777" w:rsidR="00F037E2"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1BF4BA1A" w14:textId="77777777" w:rsidR="00F037E2" w:rsidRDefault="00000000">
      <w:pPr>
        <w:pStyle w:val="Heading2"/>
      </w:pPr>
      <w:bookmarkStart w:id="12" w:name="code-and-data-availability"/>
      <w:bookmarkEnd w:id="4"/>
      <w:bookmarkEnd w:id="11"/>
      <w:r>
        <w:t>Code and Data Availability</w:t>
      </w:r>
    </w:p>
    <w:p w14:paraId="1694461F" w14:textId="77777777" w:rsidR="00F037E2" w:rsidRDefault="00000000">
      <w:pPr>
        <w:pStyle w:val="FirstParagraph"/>
      </w:pPr>
      <w:r>
        <w:t xml:space="preserve">All code used for the analyses in this study is publicly available in a research compendium on GitHub: </w:t>
      </w:r>
      <w:hyperlink r:id="rId9">
        <w:r>
          <w:rPr>
            <w:rStyle w:val="Hyperlink"/>
          </w:rPr>
          <w:t>https://github.com/PaulRegular/multispic</w:t>
        </w:r>
      </w:hyperlink>
      <w:r>
        <w:t>. The compendium is organized as an R package, enabling straightforward replication of the results presented here and allowing the same methods to be applied to datasets from other regions.</w:t>
      </w:r>
    </w:p>
    <w:p w14:paraId="5152E276" w14:textId="77777777" w:rsidR="00F037E2" w:rsidRDefault="00000000">
      <w:pPr>
        <w:pStyle w:val="Heading1"/>
      </w:pPr>
      <w:bookmarkStart w:id="13" w:name="results"/>
      <w:bookmarkEnd w:id="1"/>
      <w:bookmarkEnd w:id="12"/>
      <w:r>
        <w:t>Results</w:t>
      </w:r>
    </w:p>
    <w:p w14:paraId="73C6A27B" w14:textId="77777777" w:rsidR="00F037E2"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tends to be more notable decreases in the scores as temporal and species correlations are introduced, </w:t>
      </w:r>
      <w:r>
        <w:lastRenderedPageBreak/>
        <w:t>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26542BD1" w14:textId="77777777" w:rsidR="00F037E2"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0621B065" w14:textId="77777777" w:rsidR="00F037E2"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w:t>
      </w:r>
      <w:r>
        <w:lastRenderedPageBreak/>
        <w:t>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on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5578C066" w14:textId="77777777" w:rsidR="00F037E2"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84% (53 of 63) of pairs were positively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1479DB41" w14:textId="77777777" w:rsidR="00F037E2" w:rsidRDefault="00000000">
      <w:pPr>
        <w:pStyle w:val="Heading1"/>
      </w:pPr>
      <w:bookmarkStart w:id="14" w:name="discussion"/>
      <w:bookmarkEnd w:id="13"/>
      <w:r>
        <w:lastRenderedPageBreak/>
        <w:t>Discussion</w:t>
      </w:r>
    </w:p>
    <w:p w14:paraId="21DD0A0F" w14:textId="77777777" w:rsidR="00F037E2"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from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37D792D4" w14:textId="77777777" w:rsidR="00F037E2" w:rsidRDefault="00000000">
      <w:pPr>
        <w:pStyle w:val="BodyText"/>
      </w:pPr>
      <w:r>
        <w:t>Our case study focuses on the population dynamics of commercially important demersal fish stocks off the east coast of Canada. Stocks in the area collapsed in the early 1990s (</w:t>
      </w:r>
      <w:hyperlink w:anchor="ref-lear1998">
        <w:r>
          <w:rPr>
            <w:rStyle w:val="Hyperlink"/>
          </w:rPr>
          <w:t>Lear, 1998</w:t>
        </w:r>
      </w:hyperlink>
      <w:r>
        <w:t>), and the relative contribution of fishing and environmental impacts has been highly debated (</w:t>
      </w:r>
      <w:hyperlink w:anchor="ref-pedersen2017">
        <w:r>
          <w:rPr>
            <w:rStyle w:val="Hyperlink"/>
          </w:rPr>
          <w:t>Pedersen et al., 2017</w:t>
        </w:r>
      </w:hyperlink>
      <w:r>
        <w:t xml:space="preserve">). We attempt to disentangle the impacts of fishing from environmental </w:t>
      </w:r>
      <w:r>
        <w:lastRenderedPageBreak/>
        <w:t>effects using our multispecies production model and, in doing so, we provide empirical evidence that environmental factors played a non-negligible role in the changes observed in the region. First, we found general support for models with a system-level carrying capacity, consistent with the expectation that species within the same ecosystem production unit are constrained by a finite amount of available energy (</w:t>
      </w:r>
      <w:hyperlink w:anchor="ref-pepin2014">
        <w:r>
          <w:rPr>
            <w:rStyle w:val="Hyperlink"/>
          </w:rPr>
          <w:t>Pepin et al., 2014</w:t>
        </w:r>
      </w:hyperlink>
      <w:r>
        <w:t xml:space="preserve">). Second,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64289D64" w14:textId="77777777" w:rsidR="00F037E2" w:rsidRDefault="00000000">
      <w:pPr>
        <w:pStyle w:val="BodyText"/>
      </w:pPr>
      <w:r>
        <w:t xml:space="preserve">Our inference that environmental factors were a key driver of stock collapses was unexpected given the compelling narrative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extract the amount needed to match the estimated losses. For instance, annual catches in the late 1980s across the Northeast NL Shelf and the Grand Bank totaled ~450 kt while residual losses estimated by the model in the early 1990s was ~1000 kt. The fishing industry would have had to covertly double its efforts to explain the declines. It follows that the decline must at least in part, if not primarily, be due to an unknown environmental driver. This contention is not new (</w:t>
      </w:r>
      <w:hyperlink w:anchor="ref-atkinson1994">
        <w:r>
          <w:rPr>
            <w:rStyle w:val="Hyperlink"/>
          </w:rPr>
          <w:t>Atkinson, 1994</w:t>
        </w:r>
      </w:hyperlink>
      <w:r>
        <w:t xml:space="preserve">; see, for example, </w:t>
      </w:r>
      <w:hyperlink w:anchor="ref-morgan2002">
        <w:r>
          <w:rPr>
            <w:rStyle w:val="Hyperlink"/>
          </w:rPr>
          <w:t>Morgan et al., 2002</w:t>
        </w:r>
      </w:hyperlink>
      <w:r>
        <w:t xml:space="preserve">; </w:t>
      </w:r>
      <w:hyperlink w:anchor="ref-pedersen2017">
        <w:r>
          <w:rPr>
            <w:rStyle w:val="Hyperlink"/>
          </w:rPr>
          <w:t>Pedersen et al., 2017</w:t>
        </w:r>
      </w:hyperlink>
      <w:r>
        <w:t xml:space="preserve">), however, it remains contentious and perplexing as we lack specific causal explanations. </w:t>
      </w:r>
      <w:r>
        <w:lastRenderedPageBreak/>
        <w:t>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052ADF05" w14:textId="77777777" w:rsidR="00F037E2"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Yet, a recent study found no evidence of genetic diversity loss in heavily exploited species like Atlantic cod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w:t>
      </w:r>
      <w:r>
        <w:lastRenderedPageBreak/>
        <w:t>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58BA868D" w14:textId="77777777" w:rsidR="00F037E2"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through the 1980s.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which implies that the carrying capacity should be higher than estimated by the model presented here. Still, it is possible that the 1970s represents a period of unusually high productivity, where the system may have exceeded the carrying capacity.</w:t>
      </w:r>
    </w:p>
    <w:p w14:paraId="06C8B0DC" w14:textId="77777777" w:rsidR="00F037E2"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w:t>
      </w:r>
      <w:r>
        <w:lastRenderedPageBreak/>
        <w:t>be better accounted for by assuming a distribution with heavier tails, such as the t-distribution (</w:t>
      </w:r>
      <w:hyperlink w:anchor="ref-anderson2019">
        <w:r>
          <w:rPr>
            <w:rStyle w:val="Hyperlink"/>
          </w:rPr>
          <w:t>Anderson &amp; Ward, 2019</w:t>
        </w:r>
      </w:hyperlink>
      <w:r>
        <w:t>).</w:t>
      </w:r>
    </w:p>
    <w:p w14:paraId="5C358F08" w14:textId="77777777" w:rsidR="00F037E2" w:rsidRDefault="00000000">
      <w:pPr>
        <w:pStyle w:val="Heading2"/>
      </w:pPr>
      <w:bookmarkStart w:id="15" w:name="conclusion"/>
      <w:r>
        <w:t>Conclusion</w:t>
      </w:r>
    </w:p>
    <w:p w14:paraId="0DBD1F12" w14:textId="77777777" w:rsidR="00F037E2"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2B5D9E00" w14:textId="77777777" w:rsidR="00F037E2" w:rsidRDefault="00000000">
      <w:pPr>
        <w:pStyle w:val="Heading1"/>
      </w:pPr>
      <w:bookmarkStart w:id="16" w:name="acknowledgements"/>
      <w:bookmarkEnd w:id="14"/>
      <w:bookmarkEnd w:id="15"/>
      <w:r>
        <w:t>Acknowledgements</w:t>
      </w:r>
    </w:p>
    <w:p w14:paraId="41834323" w14:textId="77777777" w:rsidR="00F037E2" w:rsidRDefault="00000000">
      <w:pPr>
        <w:pStyle w:val="FirstParagraph"/>
      </w:pPr>
      <w:r>
        <w:t>We thank the many ship’s crew and research staff involved in leading the surveys and collecting the data used in this study. These surveys were supported by Fisheries and Oceans Canada (DFO). An earlier draft version of the abstract, introduction, and discussion sections were written with the assistance of ChatGPT (March 14, 2023 version).</w:t>
      </w:r>
    </w:p>
    <w:p w14:paraId="63B36716" w14:textId="77777777" w:rsidR="00F037E2" w:rsidRDefault="00000000">
      <w:pPr>
        <w:pStyle w:val="Heading1"/>
      </w:pPr>
      <w:bookmarkStart w:id="17" w:name="references"/>
      <w:bookmarkEnd w:id="16"/>
      <w:r>
        <w:lastRenderedPageBreak/>
        <w:t>References</w:t>
      </w:r>
    </w:p>
    <w:p w14:paraId="74869ADE" w14:textId="77777777" w:rsidR="00F037E2" w:rsidRDefault="00000000">
      <w:pPr>
        <w:pStyle w:val="Bibliography"/>
      </w:pPr>
      <w:bookmarkStart w:id="18" w:name="ref-albertsen2018"/>
      <w:bookmarkStart w:id="19"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6AF03BB8" w14:textId="77777777" w:rsidR="00F037E2" w:rsidRDefault="00000000">
      <w:pPr>
        <w:pStyle w:val="Bibliography"/>
      </w:pPr>
      <w:bookmarkStart w:id="20" w:name="ref-anderson2019"/>
      <w:bookmarkEnd w:id="18"/>
      <w:r>
        <w:t xml:space="preserve">Anderson, S. C., &amp; Ward, E. J. (2019). Black swans in space: Modeling spatiotemporal processes with extremes. </w:t>
      </w:r>
      <w:r>
        <w:rPr>
          <w:i/>
          <w:iCs/>
        </w:rPr>
        <w:t>Ecology</w:t>
      </w:r>
      <w:r>
        <w:t xml:space="preserve">, </w:t>
      </w:r>
      <w:r>
        <w:rPr>
          <w:i/>
          <w:iCs/>
        </w:rPr>
        <w:t>100</w:t>
      </w:r>
      <w:r>
        <w:t>(1), e02403.</w:t>
      </w:r>
    </w:p>
    <w:p w14:paraId="1D2FF277" w14:textId="77777777" w:rsidR="00F037E2" w:rsidRDefault="00000000">
      <w:pPr>
        <w:pStyle w:val="Bibliography"/>
      </w:pPr>
      <w:bookmarkStart w:id="21" w:name="ref-atkinson1994"/>
      <w:bookmarkEnd w:id="20"/>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53757301" w14:textId="77777777" w:rsidR="00F037E2" w:rsidRDefault="00000000">
      <w:pPr>
        <w:pStyle w:val="Bibliography"/>
      </w:pPr>
      <w:bookmarkStart w:id="22" w:name="ref-brown2022"/>
      <w:bookmarkEnd w:id="21"/>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BC9DAE8" w14:textId="77777777" w:rsidR="00F037E2" w:rsidRDefault="00000000">
      <w:pPr>
        <w:pStyle w:val="Bibliography"/>
      </w:pPr>
      <w:bookmarkStart w:id="23" w:name="ref-bundy2012"/>
      <w:bookmarkEnd w:id="22"/>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69DFE58C" w14:textId="77777777" w:rsidR="00F037E2" w:rsidRDefault="00000000">
      <w:pPr>
        <w:pStyle w:val="Bibliography"/>
      </w:pPr>
      <w:bookmarkStart w:id="24" w:name="ref-buren2014b"/>
      <w:bookmarkEnd w:id="23"/>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4D7621F2" w14:textId="77777777" w:rsidR="00F037E2" w:rsidRDefault="00000000">
      <w:pPr>
        <w:pStyle w:val="Bibliography"/>
      </w:pPr>
      <w:bookmarkStart w:id="25" w:name="ref-buren2014a"/>
      <w:bookmarkEnd w:id="24"/>
      <w:r>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480124F1" w14:textId="77777777" w:rsidR="00F037E2" w:rsidRDefault="00000000">
      <w:pPr>
        <w:pStyle w:val="Bibliography"/>
      </w:pPr>
      <w:bookmarkStart w:id="26" w:name="ref-cadigan2015"/>
      <w:bookmarkEnd w:id="25"/>
      <w:r>
        <w:lastRenderedPageBreak/>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6EF31E32" w14:textId="77777777" w:rsidR="00F037E2" w:rsidRDefault="00000000">
      <w:pPr>
        <w:pStyle w:val="Bibliography"/>
      </w:pPr>
      <w:bookmarkStart w:id="27" w:name="ref-cadigan2022"/>
      <w:bookmarkEnd w:id="26"/>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7FDA4C89" w14:textId="77777777" w:rsidR="00F037E2" w:rsidRDefault="00000000">
      <w:pPr>
        <w:pStyle w:val="Bibliography"/>
      </w:pPr>
      <w:bookmarkStart w:id="28" w:name="ref-chadwick2007"/>
      <w:bookmarkEnd w:id="27"/>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74B72505" w14:textId="77777777" w:rsidR="00F037E2" w:rsidRDefault="00000000">
      <w:pPr>
        <w:pStyle w:val="Bibliography"/>
      </w:pPr>
      <w:bookmarkStart w:id="29" w:name="ref-chapman2018"/>
      <w:bookmarkEnd w:id="28"/>
      <w:r>
        <w:t xml:space="preserve">Chapman, E. J., &amp; Byron, C. J. (2018). The flexible application of carrying capacity in ecology. </w:t>
      </w:r>
      <w:r>
        <w:rPr>
          <w:i/>
          <w:iCs/>
        </w:rPr>
        <w:t>Global Ecology and Conservation</w:t>
      </w:r>
      <w:r>
        <w:t xml:space="preserve">, </w:t>
      </w:r>
      <w:r>
        <w:rPr>
          <w:i/>
          <w:iCs/>
        </w:rPr>
        <w:t>13</w:t>
      </w:r>
      <w:r>
        <w:t>, e00365.</w:t>
      </w:r>
    </w:p>
    <w:p w14:paraId="31141765" w14:textId="77777777" w:rsidR="00F037E2" w:rsidRDefault="00000000">
      <w:pPr>
        <w:pStyle w:val="Bibliography"/>
      </w:pPr>
      <w:bookmarkStart w:id="30" w:name="ref-dawe2012"/>
      <w:bookmarkEnd w:id="29"/>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6AD24ACA" w14:textId="77777777" w:rsidR="00F037E2" w:rsidRDefault="00000000">
      <w:pPr>
        <w:pStyle w:val="Bibliography"/>
      </w:pPr>
      <w:bookmarkStart w:id="31" w:name="ref-del2004"/>
      <w:bookmarkEnd w:id="30"/>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208C2411" w14:textId="77777777" w:rsidR="00F037E2" w:rsidRDefault="00000000">
      <w:pPr>
        <w:pStyle w:val="Bibliography"/>
      </w:pPr>
      <w:bookmarkStart w:id="32" w:name="ref-fogarty2012"/>
      <w:bookmarkEnd w:id="31"/>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3B505D3E" w14:textId="77777777" w:rsidR="00F037E2" w:rsidRDefault="00000000">
      <w:pPr>
        <w:pStyle w:val="Bibliography"/>
      </w:pPr>
      <w:bookmarkStart w:id="33" w:name="ref-froese2017"/>
      <w:bookmarkEnd w:id="32"/>
      <w:r>
        <w:lastRenderedPageBreak/>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1515EECA" w14:textId="77777777" w:rsidR="00F037E2" w:rsidRDefault="00000000">
      <w:pPr>
        <w:pStyle w:val="Bibliography"/>
      </w:pPr>
      <w:bookmarkStart w:id="34" w:name="ref-fulton2011"/>
      <w:bookmarkEnd w:id="33"/>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05767801" w14:textId="77777777" w:rsidR="00F037E2" w:rsidRDefault="00000000">
      <w:pPr>
        <w:pStyle w:val="Bibliography"/>
      </w:pPr>
      <w:bookmarkStart w:id="35" w:name="ref-gamble2009"/>
      <w:bookmarkEnd w:id="34"/>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2CE66FD1" w14:textId="77777777" w:rsidR="00F037E2" w:rsidRDefault="00000000">
      <w:pPr>
        <w:pStyle w:val="Bibliography"/>
      </w:pPr>
      <w:bookmarkStart w:id="36" w:name="ref-gomes1995"/>
      <w:bookmarkEnd w:id="35"/>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1F5C7A45" w14:textId="77777777" w:rsidR="00F037E2" w:rsidRDefault="00000000">
      <w:pPr>
        <w:pStyle w:val="Bibliography"/>
      </w:pPr>
      <w:bookmarkStart w:id="37" w:name="ref-hilborn1995"/>
      <w:bookmarkEnd w:id="36"/>
      <w:r>
        <w:t xml:space="preserve">Hilborn, R., Walters, C. J., &amp; Ludwig, D. (1995). Sustainable exploitation of renewable resources. </w:t>
      </w:r>
      <w:r>
        <w:rPr>
          <w:i/>
          <w:iCs/>
        </w:rPr>
        <w:t>Annual Review of Ecology and Systematics</w:t>
      </w:r>
      <w:r>
        <w:t xml:space="preserve">, </w:t>
      </w:r>
      <w:r>
        <w:rPr>
          <w:i/>
          <w:iCs/>
        </w:rPr>
        <w:t>26</w:t>
      </w:r>
      <w:r>
        <w:t>(1), 45–67.</w:t>
      </w:r>
    </w:p>
    <w:p w14:paraId="39CB7EA3" w14:textId="77777777" w:rsidR="00F037E2" w:rsidRDefault="00000000">
      <w:pPr>
        <w:pStyle w:val="Bibliography"/>
      </w:pPr>
      <w:bookmarkStart w:id="38" w:name="ref-hutchings1996"/>
      <w:bookmarkEnd w:id="37"/>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4EC5F753" w14:textId="77777777" w:rsidR="00F037E2" w:rsidRDefault="00000000">
      <w:pPr>
        <w:pStyle w:val="Bibliography"/>
      </w:pPr>
      <w:bookmarkStart w:id="39" w:name="ref-hutchings2021"/>
      <w:bookmarkEnd w:id="38"/>
      <w:r>
        <w:t xml:space="preserve">Hutchings, J. A. (2021). </w:t>
      </w:r>
      <w:r>
        <w:rPr>
          <w:i/>
          <w:iCs/>
        </w:rPr>
        <w:t>A primer of life histories: Ecology, evolution, and application</w:t>
      </w:r>
      <w:r>
        <w:t>. Oxford University Press.</w:t>
      </w:r>
    </w:p>
    <w:p w14:paraId="1BAE0944" w14:textId="77777777" w:rsidR="00F037E2" w:rsidRDefault="00000000">
      <w:pPr>
        <w:pStyle w:val="Bibliography"/>
      </w:pPr>
      <w:bookmarkStart w:id="40" w:name="ref-kell2016"/>
      <w:bookmarkEnd w:id="39"/>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7EA62E92" w14:textId="77777777" w:rsidR="00F037E2" w:rsidRDefault="00000000">
      <w:pPr>
        <w:pStyle w:val="Bibliography"/>
      </w:pPr>
      <w:bookmarkStart w:id="41" w:name="ref-koen2021"/>
      <w:bookmarkEnd w:id="40"/>
      <w:r>
        <w:lastRenderedPageBreak/>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48559212" w14:textId="77777777" w:rsidR="00F037E2" w:rsidRDefault="00000000">
      <w:pPr>
        <w:pStyle w:val="Bibliography"/>
      </w:pPr>
      <w:bookmarkStart w:id="42" w:name="ref-kristensen2015"/>
      <w:bookmarkEnd w:id="41"/>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0">
        <w:r>
          <w:rPr>
            <w:rStyle w:val="Hyperlink"/>
          </w:rPr>
          <w:t>https://doi.org/10.18637/jss.v070.i05</w:t>
        </w:r>
      </w:hyperlink>
    </w:p>
    <w:p w14:paraId="15D1A046" w14:textId="77777777" w:rsidR="00F037E2" w:rsidRDefault="00000000">
      <w:pPr>
        <w:pStyle w:val="Bibliography"/>
      </w:pPr>
      <w:bookmarkStart w:id="43" w:name="ref-latour2003"/>
      <w:bookmarkEnd w:id="42"/>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25FE47D7" w14:textId="77777777" w:rsidR="00F037E2" w:rsidRDefault="00000000">
      <w:pPr>
        <w:pStyle w:val="Bibliography"/>
      </w:pPr>
      <w:bookmarkStart w:id="44" w:name="ref-lear1998"/>
      <w:bookmarkEnd w:id="43"/>
      <w:r>
        <w:t xml:space="preserve">Lear, W. H. (1998). History of fisheries in the northwest atlantic: The 500-year perspective. </w:t>
      </w:r>
      <w:r>
        <w:rPr>
          <w:i/>
          <w:iCs/>
        </w:rPr>
        <w:t>Journal of Northwest Atlantic Fishery Science</w:t>
      </w:r>
      <w:r>
        <w:t xml:space="preserve">, </w:t>
      </w:r>
      <w:r>
        <w:rPr>
          <w:i/>
          <w:iCs/>
        </w:rPr>
        <w:t>23</w:t>
      </w:r>
      <w:r>
        <w:t>.</w:t>
      </w:r>
    </w:p>
    <w:p w14:paraId="2716D59A" w14:textId="77777777" w:rsidR="00F037E2" w:rsidRDefault="00000000">
      <w:pPr>
        <w:pStyle w:val="Bibliography"/>
      </w:pPr>
      <w:bookmarkStart w:id="45" w:name="ref-licandeo2020"/>
      <w:bookmarkEnd w:id="44"/>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320D4E43" w14:textId="77777777" w:rsidR="00F037E2" w:rsidRDefault="00000000">
      <w:pPr>
        <w:pStyle w:val="Bibliography"/>
      </w:pPr>
      <w:bookmarkStart w:id="46" w:name="ref-link2019"/>
      <w:bookmarkEnd w:id="45"/>
      <w:r>
        <w:t xml:space="preserve">Link, J., &amp; Sherwood, G. (2019). Feeding, growth, and trophic ecology. In G. A. Rose (Ed.), </w:t>
      </w:r>
      <w:r>
        <w:rPr>
          <w:i/>
          <w:iCs/>
        </w:rPr>
        <w:t>Atlantic cod: A bio-ecology</w:t>
      </w:r>
      <w:r>
        <w:t xml:space="preserve"> (pp. 219–286). John Wiley &amp; Sons.</w:t>
      </w:r>
    </w:p>
    <w:p w14:paraId="43802799" w14:textId="77777777" w:rsidR="00F037E2" w:rsidRDefault="00000000">
      <w:pPr>
        <w:pStyle w:val="Bibliography"/>
      </w:pPr>
      <w:bookmarkStart w:id="47" w:name="ref-lotka1925"/>
      <w:bookmarkEnd w:id="46"/>
      <w:r>
        <w:t xml:space="preserve">Lotka, A. J. (1925). </w:t>
      </w:r>
      <w:r>
        <w:rPr>
          <w:i/>
          <w:iCs/>
        </w:rPr>
        <w:t>Elements of physical biology</w:t>
      </w:r>
      <w:r>
        <w:t>. Williams &amp; Wilkins.</w:t>
      </w:r>
    </w:p>
    <w:p w14:paraId="267BE875" w14:textId="77777777" w:rsidR="00F037E2" w:rsidRDefault="00000000">
      <w:pPr>
        <w:pStyle w:val="Bibliography"/>
      </w:pPr>
      <w:bookmarkStart w:id="48" w:name="ref-millar2000"/>
      <w:bookmarkEnd w:id="47"/>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7A919C1A" w14:textId="77777777" w:rsidR="00F037E2" w:rsidRDefault="00000000">
      <w:pPr>
        <w:pStyle w:val="Bibliography"/>
      </w:pPr>
      <w:bookmarkStart w:id="49" w:name="ref-montevecchi1997"/>
      <w:bookmarkEnd w:id="48"/>
      <w:r>
        <w:lastRenderedPageBreak/>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3F1E9C36" w14:textId="77777777" w:rsidR="00F037E2" w:rsidRDefault="00000000">
      <w:pPr>
        <w:pStyle w:val="Bibliography"/>
      </w:pPr>
      <w:bookmarkStart w:id="50" w:name="ref-morgan2002"/>
      <w:bookmarkEnd w:id="49"/>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145BACBF" w14:textId="77777777" w:rsidR="00F037E2" w:rsidRDefault="00000000">
      <w:pPr>
        <w:pStyle w:val="Bibliography"/>
      </w:pPr>
      <w:bookmarkStart w:id="51" w:name="ref-mueter2006"/>
      <w:bookmarkEnd w:id="50"/>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1BFEC8CC" w14:textId="77777777" w:rsidR="00F037E2" w:rsidRDefault="00000000">
      <w:pPr>
        <w:pStyle w:val="Bibliography"/>
      </w:pPr>
      <w:bookmarkStart w:id="52" w:name="ref-mullowney2014"/>
      <w:bookmarkEnd w:id="51"/>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1869F06F" w14:textId="77777777" w:rsidR="00F037E2" w:rsidRPr="00E63507" w:rsidRDefault="00000000">
      <w:pPr>
        <w:pStyle w:val="Bibliography"/>
        <w:rPr>
          <w:lang w:val="fr-FR"/>
        </w:rPr>
      </w:pPr>
      <w:bookmarkStart w:id="53" w:name="ref-nafo2019"/>
      <w:bookmarkEnd w:id="52"/>
      <w:r>
        <w:t xml:space="preserve">NAFO. (2019). Report of the Scientific Council, 31 May – 13 June 2019, Halifax, Canada. </w:t>
      </w:r>
      <w:r w:rsidRPr="00E63507">
        <w:rPr>
          <w:i/>
          <w:iCs/>
          <w:lang w:val="fr-FR"/>
        </w:rPr>
        <w:t>NAFO SCS Doc</w:t>
      </w:r>
      <w:r w:rsidRPr="00E63507">
        <w:rPr>
          <w:lang w:val="fr-FR"/>
        </w:rPr>
        <w:t xml:space="preserve">, </w:t>
      </w:r>
      <w:r w:rsidRPr="00E63507">
        <w:rPr>
          <w:i/>
          <w:iCs/>
          <w:lang w:val="fr-FR"/>
        </w:rPr>
        <w:t>19/20</w:t>
      </w:r>
      <w:r w:rsidRPr="00E63507">
        <w:rPr>
          <w:lang w:val="fr-FR"/>
        </w:rPr>
        <w:t xml:space="preserve">. </w:t>
      </w:r>
      <w:hyperlink r:id="rId11">
        <w:r w:rsidRPr="00E63507">
          <w:rPr>
            <w:rStyle w:val="Hyperlink"/>
            <w:lang w:val="fr-FR"/>
          </w:rPr>
          <w:t>https://www.nafo.int/Portals/0/PDFs/sc/2019/scs19-20.pdf</w:t>
        </w:r>
      </w:hyperlink>
    </w:p>
    <w:p w14:paraId="3339A040" w14:textId="77777777" w:rsidR="00F037E2" w:rsidRDefault="00000000">
      <w:pPr>
        <w:pStyle w:val="Bibliography"/>
      </w:pPr>
      <w:bookmarkStart w:id="54" w:name="ref-pauly2021"/>
      <w:bookmarkEnd w:id="53"/>
      <w:r>
        <w:t xml:space="preserve">Pauly, D., &amp; Froese, R. (2021). MSY needs no epitaph—but it was abused. </w:t>
      </w:r>
      <w:r>
        <w:rPr>
          <w:i/>
          <w:iCs/>
        </w:rPr>
        <w:t>ICES Journal of Marine Science</w:t>
      </w:r>
      <w:r>
        <w:t xml:space="preserve">, </w:t>
      </w:r>
      <w:r>
        <w:rPr>
          <w:i/>
          <w:iCs/>
        </w:rPr>
        <w:t>78</w:t>
      </w:r>
      <w:r>
        <w:t>(6), 2204–2210.</w:t>
      </w:r>
    </w:p>
    <w:p w14:paraId="44C58D7E" w14:textId="77777777" w:rsidR="00F037E2" w:rsidRDefault="00000000">
      <w:pPr>
        <w:pStyle w:val="Bibliography"/>
      </w:pPr>
      <w:bookmarkStart w:id="55" w:name="ref-pedersen2017"/>
      <w:bookmarkEnd w:id="54"/>
      <w:r>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69D1F73C" w14:textId="77777777" w:rsidR="00F037E2" w:rsidRDefault="00000000">
      <w:pPr>
        <w:pStyle w:val="Bibliography"/>
      </w:pPr>
      <w:bookmarkStart w:id="56" w:name="ref-pepin2014"/>
      <w:bookmarkEnd w:id="55"/>
      <w:r>
        <w:lastRenderedPageBreak/>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3706982E" w14:textId="77777777" w:rsidR="00F037E2" w:rsidRDefault="00000000">
      <w:pPr>
        <w:pStyle w:val="Bibliography"/>
      </w:pPr>
      <w:bookmarkStart w:id="57" w:name="ref-pikitch2004"/>
      <w:bookmarkEnd w:id="56"/>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1308FF52" w14:textId="77777777" w:rsidR="00F037E2" w:rsidRDefault="00000000">
      <w:pPr>
        <w:pStyle w:val="Bibliography"/>
      </w:pPr>
      <w:bookmarkStart w:id="58" w:name="ref-pinsky2021"/>
      <w:bookmarkEnd w:id="57"/>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5B37A1C3" w14:textId="77777777" w:rsidR="00F037E2" w:rsidRDefault="00000000">
      <w:pPr>
        <w:pStyle w:val="Bibliography"/>
      </w:pPr>
      <w:bookmarkStart w:id="59" w:name="ref-R"/>
      <w:bookmarkEnd w:id="58"/>
      <w:r>
        <w:t xml:space="preserve">R Core Team. (2021). </w:t>
      </w:r>
      <w:r>
        <w:rPr>
          <w:i/>
          <w:iCs/>
        </w:rPr>
        <w:t>R: A language and environment for statistical computing</w:t>
      </w:r>
      <w:r>
        <w:t xml:space="preserve">. R Foundation for Statistical Computing. </w:t>
      </w:r>
      <w:hyperlink r:id="rId12">
        <w:r>
          <w:rPr>
            <w:rStyle w:val="Hyperlink"/>
          </w:rPr>
          <w:t>https://www.R-project.org/</w:t>
        </w:r>
      </w:hyperlink>
    </w:p>
    <w:p w14:paraId="00459FCB" w14:textId="77777777" w:rsidR="00F037E2" w:rsidRDefault="00000000">
      <w:pPr>
        <w:pStyle w:val="Bibliography"/>
      </w:pPr>
      <w:bookmarkStart w:id="60" w:name="ref-regular2022"/>
      <w:bookmarkEnd w:id="59"/>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3">
        <w:r>
          <w:rPr>
            <w:rStyle w:val="Hyperlink"/>
          </w:rPr>
          <w:t>https://doi.org/10.1016/j.fishres.2021.106180</w:t>
        </w:r>
      </w:hyperlink>
    </w:p>
    <w:p w14:paraId="0A0FDC15" w14:textId="77777777" w:rsidR="00F037E2" w:rsidRDefault="00000000">
      <w:pPr>
        <w:pStyle w:val="Bibliography"/>
      </w:pPr>
      <w:bookmarkStart w:id="61" w:name="ref-robertson2021"/>
      <w:bookmarkEnd w:id="60"/>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1D7AC0FD" w14:textId="77777777" w:rsidR="00F037E2" w:rsidRDefault="00000000">
      <w:pPr>
        <w:pStyle w:val="Bibliography"/>
      </w:pPr>
      <w:bookmarkStart w:id="62" w:name="ref-rose2004"/>
      <w:bookmarkEnd w:id="61"/>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094A63F9" w14:textId="77777777" w:rsidR="00F037E2" w:rsidRDefault="00000000">
      <w:pPr>
        <w:pStyle w:val="Bibliography"/>
      </w:pPr>
      <w:bookmarkStart w:id="63" w:name="ref-rose2000"/>
      <w:bookmarkEnd w:id="62"/>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05EA0949" w14:textId="77777777" w:rsidR="00F037E2" w:rsidRDefault="00000000">
      <w:pPr>
        <w:pStyle w:val="Bibliography"/>
      </w:pPr>
      <w:bookmarkStart w:id="64" w:name="ref-schaefer1954"/>
      <w:bookmarkEnd w:id="63"/>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7E72EBBA" w14:textId="77777777" w:rsidR="00F037E2" w:rsidRDefault="00000000">
      <w:pPr>
        <w:pStyle w:val="Bibliography"/>
      </w:pPr>
      <w:bookmarkStart w:id="65" w:name="ref-scheffer2015"/>
      <w:bookmarkEnd w:id="64"/>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19CA3B97" w14:textId="77777777" w:rsidR="00F037E2" w:rsidRDefault="00000000">
      <w:pPr>
        <w:pStyle w:val="Bibliography"/>
      </w:pPr>
      <w:bookmarkStart w:id="66" w:name="ref-scheffer2003"/>
      <w:bookmarkEnd w:id="65"/>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7E5CD935" w14:textId="77777777" w:rsidR="00F037E2" w:rsidRDefault="00000000">
      <w:pPr>
        <w:pStyle w:val="Bibliography"/>
      </w:pPr>
      <w:bookmarkStart w:id="67" w:name="ref-schijns2021"/>
      <w:bookmarkEnd w:id="66"/>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4B05BFCA" w14:textId="77777777" w:rsidR="00F037E2" w:rsidRDefault="00000000">
      <w:pPr>
        <w:pStyle w:val="Bibliography"/>
      </w:pPr>
      <w:bookmarkStart w:id="68" w:name="ref-schindler2010"/>
      <w:bookmarkEnd w:id="67"/>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369B73D6" w14:textId="77777777" w:rsidR="00F037E2" w:rsidRDefault="00000000">
      <w:pPr>
        <w:pStyle w:val="Bibliography"/>
      </w:pPr>
      <w:bookmarkStart w:id="69" w:name="ref-smith1981"/>
      <w:bookmarkEnd w:id="68"/>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04B7AF37" w14:textId="77777777" w:rsidR="00F037E2" w:rsidRDefault="00000000">
      <w:pPr>
        <w:pStyle w:val="Bibliography"/>
      </w:pPr>
      <w:bookmarkStart w:id="70" w:name="ref-templeman1962"/>
      <w:bookmarkEnd w:id="69"/>
      <w:r>
        <w:t xml:space="preserve">Templeman, W. (1962). Divisions of cod stocks in the northwest atlantic. </w:t>
      </w:r>
      <w:r>
        <w:rPr>
          <w:i/>
          <w:iCs/>
        </w:rPr>
        <w:t>ICNAF Redbook</w:t>
      </w:r>
      <w:r>
        <w:t xml:space="preserve">, </w:t>
      </w:r>
      <w:r>
        <w:rPr>
          <w:i/>
          <w:iCs/>
        </w:rPr>
        <w:t>3</w:t>
      </w:r>
      <w:r>
        <w:t>, 79–123.</w:t>
      </w:r>
    </w:p>
    <w:p w14:paraId="15C975A0" w14:textId="77777777" w:rsidR="00F037E2" w:rsidRDefault="00000000">
      <w:pPr>
        <w:pStyle w:val="Bibliography"/>
      </w:pPr>
      <w:bookmarkStart w:id="71" w:name="ref-thorson2020"/>
      <w:bookmarkEnd w:id="70"/>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6CB227C8" w14:textId="77777777" w:rsidR="00F037E2" w:rsidRDefault="00000000">
      <w:pPr>
        <w:pStyle w:val="Bibliography"/>
      </w:pPr>
      <w:bookmarkStart w:id="72" w:name="ref-volterra1926"/>
      <w:bookmarkEnd w:id="71"/>
      <w:r>
        <w:t xml:space="preserve">Volterra, V. (1926). Fluctuations in the abundance of a species considered mathematically. </w:t>
      </w:r>
      <w:r>
        <w:rPr>
          <w:i/>
          <w:iCs/>
        </w:rPr>
        <w:t>Nature</w:t>
      </w:r>
      <w:r>
        <w:t xml:space="preserve">, </w:t>
      </w:r>
      <w:r>
        <w:rPr>
          <w:i/>
          <w:iCs/>
        </w:rPr>
        <w:t>118</w:t>
      </w:r>
      <w:r>
        <w:t>(2972), 558–560.</w:t>
      </w:r>
    </w:p>
    <w:p w14:paraId="09AD0764" w14:textId="77777777" w:rsidR="00F037E2" w:rsidRDefault="00000000">
      <w:pPr>
        <w:pStyle w:val="Bibliography"/>
      </w:pPr>
      <w:bookmarkStart w:id="73" w:name="ref-walsh1992"/>
      <w:bookmarkEnd w:id="72"/>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4E0131D0" w14:textId="77777777" w:rsidR="00F037E2" w:rsidRDefault="00000000">
      <w:pPr>
        <w:pStyle w:val="Bibliography"/>
      </w:pPr>
      <w:bookmarkStart w:id="74" w:name="ref-winker2018"/>
      <w:bookmarkEnd w:id="73"/>
      <w:r>
        <w:t xml:space="preserve">Winker, H., Carvalho, F., &amp; Kapur, M. (2018). JABBA: Just another bayesian biomass assessment. </w:t>
      </w:r>
      <w:r>
        <w:rPr>
          <w:i/>
          <w:iCs/>
        </w:rPr>
        <w:t>Fisheries Research</w:t>
      </w:r>
      <w:r>
        <w:t xml:space="preserve">, </w:t>
      </w:r>
      <w:r>
        <w:rPr>
          <w:i/>
          <w:iCs/>
        </w:rPr>
        <w:t>204</w:t>
      </w:r>
      <w:r>
        <w:t>, 275–288.</w:t>
      </w:r>
    </w:p>
    <w:bookmarkEnd w:id="19"/>
    <w:bookmarkEnd w:id="74"/>
    <w:p w14:paraId="1EE0D207" w14:textId="77777777" w:rsidR="00F037E2" w:rsidRDefault="00000000">
      <w:r>
        <w:br w:type="page"/>
      </w:r>
    </w:p>
    <w:p w14:paraId="31E62BBD" w14:textId="77777777" w:rsidR="00F037E2" w:rsidRDefault="00000000">
      <w:pPr>
        <w:pStyle w:val="Heading1"/>
      </w:pPr>
      <w:bookmarkStart w:id="75" w:name="figures"/>
      <w:bookmarkEnd w:id="17"/>
      <w:r>
        <w:lastRenderedPageBreak/>
        <w:t>Figures</w:t>
      </w:r>
    </w:p>
    <w:p w14:paraId="6628B94A" w14:textId="77777777" w:rsidR="00F037E2" w:rsidRDefault="00000000">
      <w:pPr>
        <w:pStyle w:val="CaptionedFigure"/>
      </w:pPr>
      <w:r>
        <w:rPr>
          <w:noProof/>
        </w:rPr>
        <w:drawing>
          <wp:inline distT="0" distB="0" distL="0" distR="0" wp14:anchorId="21646640" wp14:editId="23B37B7F">
            <wp:extent cx="3599999" cy="4092857"/>
            <wp:effectExtent l="0" t="0" r="0" b="0"/>
            <wp:docPr id="103"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epu_map.png"/>
                    <pic:cNvPicPr>
                      <a:picLocks noChangeAspect="1" noChangeArrowheads="1"/>
                    </pic:cNvPicPr>
                  </pic:nvPicPr>
                  <pic:blipFill>
                    <a:blip r:embed="rId14"/>
                    <a:stretch>
                      <a:fillRect/>
                    </a:stretch>
                  </pic:blipFill>
                  <pic:spPr bwMode="auto">
                    <a:xfrm>
                      <a:off x="0" y="0"/>
                      <a:ext cx="3599999" cy="4092857"/>
                    </a:xfrm>
                    <a:prstGeom prst="rect">
                      <a:avLst/>
                    </a:prstGeom>
                    <a:noFill/>
                    <a:ln w="9525">
                      <a:noFill/>
                      <a:headEnd/>
                      <a:tailEnd/>
                    </a:ln>
                  </pic:spPr>
                </pic:pic>
              </a:graphicData>
            </a:graphic>
          </wp:inline>
        </w:drawing>
      </w:r>
    </w:p>
    <w:p w14:paraId="43593E99" w14:textId="77777777" w:rsidR="00F037E2" w:rsidRDefault="00000000">
      <w:pPr>
        <w:pStyle w:val="ImageCaption"/>
      </w:pPr>
      <w:bookmarkStart w:id="76" w:name="fig:epu-map"/>
      <w:bookmarkEnd w:id="76"/>
      <w:r>
        <w:t>Fig 1: Map of Newfoundland and Labrador (NL) case study area showing the Northeast NL Shelf (purple), Grand Bank (green), and Southern NL (yellow) ecosystem production units.</w:t>
      </w:r>
    </w:p>
    <w:p w14:paraId="51C350F1" w14:textId="77777777" w:rsidR="00F037E2" w:rsidRDefault="00000000">
      <w:pPr>
        <w:pStyle w:val="CaptionedFigure"/>
      </w:pPr>
      <w:r>
        <w:rPr>
          <w:noProof/>
        </w:rPr>
        <w:lastRenderedPageBreak/>
        <w:drawing>
          <wp:inline distT="0" distB="0" distL="0" distR="0" wp14:anchorId="37956D3C" wp14:editId="7A8C762D">
            <wp:extent cx="5943600" cy="2773680"/>
            <wp:effectExtent l="0" t="0" r="0" b="0"/>
            <wp:docPr id="10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8" name="Picture" descr="C:/Users/RegularP/Documents/PROJECTS/multispic/analysis/paper/figures/scores.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4D0513D4" w14:textId="77777777" w:rsidR="00F037E2" w:rsidRDefault="00000000">
      <w:pPr>
        <w:pStyle w:val="ImageCaption"/>
      </w:pPr>
      <w:bookmarkStart w:id="77" w:name="fig:scores"/>
      <w:bookmarkEnd w:id="77"/>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56D68388" w14:textId="77777777" w:rsidR="00F037E2" w:rsidRDefault="00000000">
      <w:pPr>
        <w:pStyle w:val="CaptionedFigure"/>
      </w:pPr>
      <w:r>
        <w:rPr>
          <w:noProof/>
        </w:rPr>
        <w:lastRenderedPageBreak/>
        <w:drawing>
          <wp:inline distT="0" distB="0" distL="0" distR="0" wp14:anchorId="799EA550" wp14:editId="5638EFC3">
            <wp:extent cx="5943600" cy="4160520"/>
            <wp:effectExtent l="0" t="0" r="0" b="0"/>
            <wp:docPr id="111"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2" name="Picture" descr="C:/Users/RegularP/Documents/PROJECTS/multispic/analysis/paper/figures/survey_trend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7E80D83C" w14:textId="77777777" w:rsidR="00F037E2" w:rsidRDefault="00000000">
      <w:pPr>
        <w:pStyle w:val="ImageCaption"/>
      </w:pPr>
      <w:bookmarkStart w:id="78" w:name="fig:survey-trends"/>
      <w:bookmarkEnd w:id="78"/>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FF48237" w14:textId="77777777" w:rsidR="00F037E2" w:rsidRDefault="00000000">
      <w:pPr>
        <w:pStyle w:val="CaptionedFigure"/>
      </w:pPr>
      <w:r>
        <w:rPr>
          <w:noProof/>
        </w:rPr>
        <w:lastRenderedPageBreak/>
        <w:drawing>
          <wp:inline distT="0" distB="0" distL="0" distR="0" wp14:anchorId="6152F5DD" wp14:editId="46AEF9F3">
            <wp:extent cx="5943600" cy="4160520"/>
            <wp:effectExtent l="0" t="0" r="0" b="0"/>
            <wp:docPr id="115"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6" name="Picture" descr="C:/Users/RegularP/Documents/PROJECTS/multispic/analysis/paper/figures/pop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52343ABE" w14:textId="77777777" w:rsidR="00F037E2" w:rsidRDefault="00000000">
      <w:pPr>
        <w:pStyle w:val="ImageCaption"/>
      </w:pPr>
      <w:bookmarkStart w:id="79" w:name="fig:pop-trends"/>
      <w:bookmarkEnd w:id="79"/>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38BE5ECB" w14:textId="77777777" w:rsidR="00F037E2" w:rsidRDefault="00000000">
      <w:pPr>
        <w:pStyle w:val="CaptionedFigure"/>
      </w:pPr>
      <w:r>
        <w:rPr>
          <w:noProof/>
        </w:rPr>
        <w:lastRenderedPageBreak/>
        <w:drawing>
          <wp:inline distT="0" distB="0" distL="0" distR="0" wp14:anchorId="41B7B0E0" wp14:editId="3F0953CC">
            <wp:extent cx="5943600" cy="3200400"/>
            <wp:effectExtent l="0" t="0" r="0" b="0"/>
            <wp:docPr id="119"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20" name="Picture" descr="C:/Users/RegularP/Documents/PROJECTS/multispic/analysis/paper/figures/pe_cor.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7A476E6E" w14:textId="77777777" w:rsidR="00F037E2" w:rsidRDefault="00000000">
      <w:pPr>
        <w:pStyle w:val="ImageCaption"/>
      </w:pPr>
      <w:bookmarkStart w:id="80" w:name="fig:pe-cor"/>
      <w:bookmarkEnd w:id="80"/>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5"/>
    </w:p>
    <w:sectPr w:rsidR="00F037E2" w:rsidSect="00E63332">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C3F4D" w14:textId="77777777" w:rsidR="005D0720" w:rsidRDefault="005D0720">
      <w:pPr>
        <w:spacing w:after="0" w:line="240" w:lineRule="auto"/>
      </w:pPr>
      <w:r>
        <w:separator/>
      </w:r>
    </w:p>
  </w:endnote>
  <w:endnote w:type="continuationSeparator" w:id="0">
    <w:p w14:paraId="78B54D4D" w14:textId="77777777" w:rsidR="005D0720" w:rsidRDefault="005D0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3CC1C3AB" w14:textId="77777777" w:rsidR="00E63332" w:rsidRDefault="00E63332">
        <w:pPr>
          <w:pStyle w:val="Footer"/>
          <w:jc w:val="right"/>
        </w:pPr>
        <w:r>
          <w:fldChar w:fldCharType="begin"/>
        </w:r>
        <w:r>
          <w:instrText xml:space="preserve"> PAGE   \* MERGEFORMAT </w:instrText>
        </w:r>
        <w:r>
          <w:fldChar w:fldCharType="separate"/>
        </w:r>
        <w:r w:rsidR="0065763B">
          <w:rPr>
            <w:noProof/>
          </w:rPr>
          <w:t>2</w:t>
        </w:r>
        <w:r>
          <w:rPr>
            <w:noProof/>
          </w:rPr>
          <w:fldChar w:fldCharType="end"/>
        </w:r>
      </w:p>
    </w:sdtContent>
  </w:sdt>
  <w:p w14:paraId="707C5527" w14:textId="77777777" w:rsidR="00E63332" w:rsidRDefault="00E633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E9845" w14:textId="77777777" w:rsidR="005D0720" w:rsidRDefault="005D0720">
      <w:pPr>
        <w:spacing w:after="0" w:line="240" w:lineRule="auto"/>
      </w:pPr>
      <w:r>
        <w:separator/>
      </w:r>
    </w:p>
  </w:footnote>
  <w:footnote w:type="continuationSeparator" w:id="0">
    <w:p w14:paraId="5F0BB2CA" w14:textId="77777777" w:rsidR="005D0720" w:rsidRDefault="005D0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BF4D0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32057213">
    <w:abstractNumId w:val="11"/>
  </w:num>
  <w:num w:numId="2" w16cid:durableId="552278077">
    <w:abstractNumId w:val="11"/>
  </w:num>
  <w:num w:numId="3" w16cid:durableId="1344239238">
    <w:abstractNumId w:val="9"/>
  </w:num>
  <w:num w:numId="4" w16cid:durableId="1175530506">
    <w:abstractNumId w:val="7"/>
  </w:num>
  <w:num w:numId="5" w16cid:durableId="1062142499">
    <w:abstractNumId w:val="6"/>
  </w:num>
  <w:num w:numId="6" w16cid:durableId="1101098196">
    <w:abstractNumId w:val="5"/>
  </w:num>
  <w:num w:numId="7" w16cid:durableId="1711149610">
    <w:abstractNumId w:val="4"/>
  </w:num>
  <w:num w:numId="8" w16cid:durableId="732771648">
    <w:abstractNumId w:val="8"/>
  </w:num>
  <w:num w:numId="9" w16cid:durableId="770466153">
    <w:abstractNumId w:val="3"/>
  </w:num>
  <w:num w:numId="10" w16cid:durableId="1763649039">
    <w:abstractNumId w:val="2"/>
  </w:num>
  <w:num w:numId="11" w16cid:durableId="575751450">
    <w:abstractNumId w:val="1"/>
  </w:num>
  <w:num w:numId="12" w16cid:durableId="31852617">
    <w:abstractNumId w:val="0"/>
  </w:num>
  <w:num w:numId="13" w16cid:durableId="1896701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28CE"/>
    <w:rsid w:val="00015187"/>
    <w:rsid w:val="00054F95"/>
    <w:rsid w:val="00067FAA"/>
    <w:rsid w:val="000F1F41"/>
    <w:rsid w:val="00107B2E"/>
    <w:rsid w:val="001B699F"/>
    <w:rsid w:val="001C440B"/>
    <w:rsid w:val="002619E3"/>
    <w:rsid w:val="002D2BE4"/>
    <w:rsid w:val="003719B1"/>
    <w:rsid w:val="004E29B3"/>
    <w:rsid w:val="004F5A83"/>
    <w:rsid w:val="005271B6"/>
    <w:rsid w:val="00590D07"/>
    <w:rsid w:val="005D0720"/>
    <w:rsid w:val="006471F6"/>
    <w:rsid w:val="0065763B"/>
    <w:rsid w:val="00687D1D"/>
    <w:rsid w:val="006B7F65"/>
    <w:rsid w:val="00784D58"/>
    <w:rsid w:val="00871998"/>
    <w:rsid w:val="008D2463"/>
    <w:rsid w:val="008D6863"/>
    <w:rsid w:val="008E13DD"/>
    <w:rsid w:val="00962B0F"/>
    <w:rsid w:val="009C3006"/>
    <w:rsid w:val="00A32216"/>
    <w:rsid w:val="00A41129"/>
    <w:rsid w:val="00A67954"/>
    <w:rsid w:val="00AA57CA"/>
    <w:rsid w:val="00AC05ED"/>
    <w:rsid w:val="00AD3788"/>
    <w:rsid w:val="00B7339E"/>
    <w:rsid w:val="00B86B75"/>
    <w:rsid w:val="00BA1ADC"/>
    <w:rsid w:val="00BC48D5"/>
    <w:rsid w:val="00C36279"/>
    <w:rsid w:val="00CC7665"/>
    <w:rsid w:val="00D11045"/>
    <w:rsid w:val="00E315A3"/>
    <w:rsid w:val="00E63332"/>
    <w:rsid w:val="00E63507"/>
    <w:rsid w:val="00E67F5E"/>
    <w:rsid w:val="00E7738A"/>
    <w:rsid w:val="00F037E2"/>
    <w:rsid w:val="00F47959"/>
    <w:rsid w:val="00FF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431D9"/>
  <w15:docId w15:val="{72D6604B-E34C-404F-B205-0B884638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hyperlink" Target="https://doi.org/10.1016/j.fishres.2021.106180" TargetMode="External"/><Relationship Id="rId18"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aul.Regular@dfo-mpo.gc.ca" TargetMode="Externa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Portals/0/PDFs/sc/2019/scs19-20.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doi.org/10.18637/jss.v070.i05"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PaulRegular/multispic" TargetMode="External"/><Relationship Id="rId14" Type="http://schemas.openxmlformats.org/officeDocument/2006/relationships/image" Target="media/image1.png"/><Relationship Id="rId22" Type="http://schemas.openxmlformats.org/officeDocument/2006/relationships/image" Target="media/image9.svg"/></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9072</Words>
  <Characters>51711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Manuscript title</vt:lpstr>
    </vt:vector>
  </TitlesOfParts>
  <Company>DFO-MPO</Company>
  <LinksUpToDate>false</LinksUpToDate>
  <CharactersWithSpaces>60662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 (DFO/MPO)</cp:lastModifiedBy>
  <cp:revision>2</cp:revision>
  <dcterms:created xsi:type="dcterms:W3CDTF">2025-02-20T15:34:00Z</dcterms:created>
  <dcterms:modified xsi:type="dcterms:W3CDTF">2025-02-20T15:34:00Z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Centre, 80 East White Hills, St. John’s, Newfoundland and Labrador, A1C 5X1, Canada  *Corresponding author; E-mail: Paul.Regular@dfo-mpo.gc.ca †Current address; Three Dog House, 1023 Indian Meal Line, Portugal Cove - St. Philip’s, Newfoundland and Labrador, A1M 3C4, Canada  2025-02-20</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