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B1B62" w14:textId="77777777" w:rsidR="005D0851" w:rsidRDefault="00BF548D">
      <w:pPr>
        <w:pStyle w:val="Title"/>
      </w:pPr>
      <w:r>
        <w:t>Summing the parts: Improving population estimates using a state-space multispecies production model</w:t>
      </w:r>
    </w:p>
    <w:p w14:paraId="2BF6730B" w14:textId="77777777" w:rsidR="005D0851" w:rsidRDefault="00BF548D">
      <w:pPr>
        <w:pStyle w:val="Author"/>
      </w:pPr>
      <w:commentRangeStart w:id="0"/>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commentRangeEnd w:id="0"/>
      <w:r w:rsidR="00D06FD2">
        <w:rPr>
          <w:rStyle w:val="CommentReference"/>
        </w:rPr>
        <w:commentReference w:id="0"/>
      </w:r>
    </w:p>
    <w:p w14:paraId="28A82AF7" w14:textId="77777777" w:rsidR="005D0851" w:rsidRDefault="00BF548D">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10">
        <w:r>
          <w:rPr>
            <w:rStyle w:val="Hyperlink"/>
          </w:rPr>
          <w:t>Paul.Regular@dfo-mpo.gc.ca</w:t>
        </w:r>
      </w:hyperlink>
      <w:r>
        <w:br/>
      </w:r>
      <w:r>
        <w:br/>
        <w:t>2023-06-29</w:t>
      </w:r>
    </w:p>
    <w:p w14:paraId="56850186" w14:textId="77777777" w:rsidR="005D0851" w:rsidRDefault="00BF548D">
      <w:pPr>
        <w:pStyle w:val="Abstract"/>
      </w:pPr>
      <w:r>
        <w:rPr>
          <w:b/>
          <w:bCs/>
        </w:rPr>
        <w:lastRenderedPageBreak/>
        <w:t>Abstract:</w:t>
      </w:r>
      <w:r>
        <w:br/>
      </w:r>
      <w:r>
        <w:br/>
      </w:r>
      <w:r>
        <w:rPr>
          <w:i/>
          <w:iCs/>
        </w:rPr>
        <w:t>&lt;&lt;PMR: this is a very rough first cut intended to get coarse ideas on the page&gt;&gt;</w:t>
      </w:r>
      <w:r>
        <w:br/>
        <w:t>Carrying capacity is a fundamental concept in population ecology, yet standard models tend to ignore species interactions and do not account for variable environments. Our study proposes an extension of the single-species production model to include inter- and intra-specific competition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common trends imply a common environmental driver. Such inferences indicate that this may be a promicing avenue for producing more accurate assessments for multiple species with relatively minimal data requrements. Finaly, this approach may serve as a steping stone towards an ecosystem-based approach to fisheries management.</w:t>
      </w:r>
      <w:r>
        <w:br/>
      </w:r>
    </w:p>
    <w:p w14:paraId="47984992" w14:textId="77777777" w:rsidR="005D0851" w:rsidRDefault="00BF548D">
      <w:pPr>
        <w:pStyle w:val="Heading1"/>
      </w:pPr>
      <w:bookmarkStart w:id="1" w:name="introduction"/>
      <w:r>
        <w:t>Introduction</w:t>
      </w:r>
    </w:p>
    <w:p w14:paraId="384B425A" w14:textId="77777777" w:rsidR="005D0851" w:rsidRDefault="00BF548D">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The understanding that populations often produce more offspring than an environment can sustain led to the notion that the ‘surplus’ can be harvest</w:t>
      </w:r>
      <w:ins w:id="2" w:author="Joanne Morgan" w:date="2023-08-28T10:23:00Z">
        <w:r w:rsidR="00D06FD2">
          <w:t>ed</w:t>
        </w:r>
      </w:ins>
      <w:r>
        <w:t xml:space="preserve"> sustainabl</w:t>
      </w:r>
      <w:del w:id="3" w:author="Joanne Morgan" w:date="2023-08-28T10:23:00Z">
        <w:r w:rsidDel="00D06FD2">
          <w:delText>l</w:delText>
        </w:r>
      </w:del>
      <w:r>
        <w:t>y (</w:t>
      </w:r>
      <w:hyperlink w:anchor="ref-pauly2021">
        <w:r>
          <w:rPr>
            <w:rStyle w:val="Hyperlink"/>
          </w:rPr>
          <w:t xml:space="preserve">Pauly </w:t>
        </w:r>
        <w:r>
          <w:rPr>
            <w:rStyle w:val="Hyperlink"/>
          </w:rPr>
          <w:lastRenderedPageBreak/>
          <w:t>&amp;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is an over-simplification in variable environments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3A3D4825" w14:textId="77777777" w:rsidR="005D0851" w:rsidRDefault="00BF548D">
      <w:pPr>
        <w:pStyle w:val="BodyText"/>
      </w:pPr>
      <w:r>
        <w:t xml:space="preserve">Recognizing the limitations of single-species approaches, there have been calls to apply multispecies models as such approaches are needed to support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and knowledge gaps. There is therefore a need for methods to help </w:t>
      </w:r>
      <w:r>
        <w:lastRenderedPageBreak/>
        <w:t>bridge the gap between single-species and multispecies assessment in data or information poor systems.</w:t>
      </w:r>
    </w:p>
    <w:p w14:paraId="5C0577ED" w14:textId="77777777" w:rsidR="005D0851" w:rsidRDefault="00BF548D">
      <w:pPr>
        <w:pStyle w:val="BodyText"/>
      </w:pPr>
      <w:r>
        <w:t>In this paper, we burrow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xml:space="preserve">). </w:t>
      </w:r>
      <w:del w:id="4" w:author="Joanne Morgan" w:date="2023-08-28T10:28:00Z">
        <w:r w:rsidDel="00D06FD2">
          <w:delText>via this use case</w:delText>
        </w:r>
      </w:del>
      <w:ins w:id="5" w:author="Joanne Morgan" w:date="2023-08-28T10:28:00Z">
        <w:r w:rsidR="00D06FD2">
          <w:t>Via this case study</w:t>
        </w:r>
      </w:ins>
      <w:r>
        <w:t>, we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to the demersal fish species off the east coast of Canada, and discuss the implications of our findings for ecosystem-based fisheries management.</w:t>
      </w:r>
    </w:p>
    <w:p w14:paraId="58D699AF" w14:textId="77777777" w:rsidR="005D0851" w:rsidRDefault="00BF548D">
      <w:pPr>
        <w:pStyle w:val="Heading1"/>
      </w:pPr>
      <w:bookmarkStart w:id="6" w:name="methods"/>
      <w:bookmarkEnd w:id="1"/>
      <w:r>
        <w:t>Methods</w:t>
      </w:r>
    </w:p>
    <w:p w14:paraId="3BD2BF91" w14:textId="77777777" w:rsidR="005D0851" w:rsidRDefault="00BF548D">
      <w:pPr>
        <w:pStyle w:val="Heading2"/>
      </w:pPr>
      <w:bookmarkStart w:id="7" w:name="model-formulation"/>
      <w:commentRangeStart w:id="8"/>
      <w:commentRangeStart w:id="9"/>
      <w:r>
        <w:t>Model formulation</w:t>
      </w:r>
      <w:commentRangeEnd w:id="8"/>
      <w:r>
        <w:rPr>
          <w:rStyle w:val="CommentReference"/>
          <w:rFonts w:asciiTheme="minorHAnsi" w:eastAsiaTheme="minorHAnsi" w:hAnsiTheme="minorHAnsi" w:cstheme="minorBidi"/>
          <w:b w:val="0"/>
          <w:bCs w:val="0"/>
          <w:color w:val="auto"/>
        </w:rPr>
        <w:commentReference w:id="8"/>
      </w:r>
      <w:commentRangeEnd w:id="9"/>
      <w:r>
        <w:rPr>
          <w:rStyle w:val="CommentReference"/>
          <w:rFonts w:asciiTheme="minorHAnsi" w:eastAsiaTheme="minorHAnsi" w:hAnsiTheme="minorHAnsi" w:cstheme="minorBidi"/>
          <w:b w:val="0"/>
          <w:bCs w:val="0"/>
          <w:color w:val="auto"/>
        </w:rPr>
        <w:commentReference w:id="9"/>
      </w:r>
    </w:p>
    <w:p w14:paraId="1F0BF438" w14:textId="77777777" w:rsidR="005D0851" w:rsidRDefault="00BF548D">
      <w:pPr>
        <w:pStyle w:val="FirstParagraph"/>
      </w:pPr>
      <w:r>
        <w:t>Trends in fish populations have frequently been described using state-space production models of the form</w:t>
      </w:r>
    </w:p>
    <w:p w14:paraId="28A4DA51" w14:textId="77777777" w:rsidR="005D085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57582453" w14:textId="77777777" w:rsidR="005D0851" w:rsidRDefault="00BF548D">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6B766841"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388A793A" w14:textId="77777777" w:rsidR="005D0851" w:rsidRDefault="00BF548D">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33598A67"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0D1F4D37" w14:textId="77777777" w:rsidR="005D0851" w:rsidRDefault="00BF548D">
      <w:pPr>
        <w:pStyle w:val="FirstParagraph"/>
      </w:pPr>
      <w:r>
        <w:lastRenderedPageBreak/>
        <w:t xml:space="preserve">While intrinsic rates of growth may vary across species, this formulation implies that the growth of all species is ultimately limited by the finite amount of energy in a region (i.e., as the population in the system increases towards </w:t>
      </w:r>
      <m:oMath>
        <m:r>
          <w:rPr>
            <w:rFonts w:ascii="Cambria Math" w:hAnsi="Cambria Math"/>
          </w:rPr>
          <m:t>K</m:t>
        </m:r>
      </m:oMath>
      <w:r>
        <w:t>, year-over-year growth of all species slows). Combining equations (1), (2), and (4), our model becomes</w:t>
      </w:r>
    </w:p>
    <w:p w14:paraId="04E1E883" w14:textId="77777777" w:rsidR="005D085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69A19F89" w14:textId="77777777" w:rsidR="005D0851" w:rsidRDefault="00BF548D">
      <w:pPr>
        <w:pStyle w:val="FirstParagraph"/>
      </w:pPr>
      <w:r>
        <w:t xml:space="preserve">The inclusion of multiple species in the model permits the estimation of covariance. While covarying changes in observed populations may be described using observation errors, we assume that most covariance stems from </w:t>
      </w:r>
      <w:commentRangeStart w:id="10"/>
      <w:r>
        <w:t>population processes</w:t>
      </w:r>
      <w:commentRangeEnd w:id="10"/>
      <w:r>
        <w:rPr>
          <w:rStyle w:val="CommentReference"/>
        </w:rPr>
        <w:commentReference w:id="10"/>
      </w:r>
      <w:r>
        <w:t xml:space="preserve">. We therefore assume that observation errors are independent and normal distribution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slowly through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78724294" w14:textId="77777777" w:rsidR="005D0851"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5271129D" w14:textId="77777777" w:rsidR="005D0851" w:rsidRDefault="00BF548D">
      <w:pPr>
        <w:pStyle w:val="FirstParagraph"/>
      </w:pPr>
      <w:r>
        <w:t>and</w:t>
      </w:r>
    </w:p>
    <w:p w14:paraId="56E3EBC6"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00D8E380" w14:textId="77777777" w:rsidR="005D0851" w:rsidRDefault="00BF548D">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1B9C4D70" w14:textId="77777777" w:rsidR="005D0851" w:rsidRDefault="00BF548D">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as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w:t>
      </w:r>
      <w:r>
        <w:lastRenderedPageBreak/>
        <w:t xml:space="preserve">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6539469" w14:textId="77777777" w:rsidR="005D0851" w:rsidRDefault="00BF548D">
      <w:pPr>
        <w:pStyle w:val="Heading2"/>
      </w:pPr>
      <w:bookmarkStart w:id="11" w:name="statistical-framework"/>
      <w:bookmarkEnd w:id="7"/>
      <w:r>
        <w:t>Statistical framework</w:t>
      </w:r>
    </w:p>
    <w:p w14:paraId="5F715380" w14:textId="77777777" w:rsidR="005D0851" w:rsidRDefault="00BF548D">
      <w:pPr>
        <w:pStyle w:val="FirstParagraph"/>
      </w:pPr>
      <w:r>
        <w:t xml:space="preserve">This model was implemented using template model builder (TMB; </w:t>
      </w:r>
      <w:hyperlink w:anchor="ref-kristensen2015">
        <w:r>
          <w:rPr>
            <w:rStyle w:val="Hyperlink"/>
          </w:rPr>
          <w:t>Kristensen et al., 2016</w:t>
        </w:r>
      </w:hyperlink>
      <w:r>
        <w:t>), which is package for R (</w:t>
      </w:r>
      <w:hyperlink w:anchor="ref-R">
        <w:r>
          <w:rPr>
            <w:rStyle w:val="Hyperlink"/>
          </w:rPr>
          <w:t>R Core Team, 2021</w:t>
        </w:r>
      </w:hyperlink>
      <w:r>
        <w:t xml:space="preserve">) and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was generally more successful when vaguely informative priors are specified as parameters were, in some cases, not estimatable when unconstrained.</w:t>
      </w:r>
    </w:p>
    <w:p w14:paraId="199D4572" w14:textId="77777777" w:rsidR="005D0851" w:rsidRDefault="00BF548D">
      <w:pPr>
        <w:pStyle w:val="Heading2"/>
      </w:pPr>
      <w:bookmarkStart w:id="12" w:name="case-study"/>
      <w:bookmarkEnd w:id="11"/>
      <w:r>
        <w:t>Case study</w:t>
      </w:r>
    </w:p>
    <w:p w14:paraId="417DE820" w14:textId="77777777" w:rsidR="005D0851" w:rsidRDefault="00BF548D">
      <w:pPr>
        <w:pStyle w:val="Heading3"/>
      </w:pPr>
      <w:bookmarkStart w:id="13" w:name="data"/>
      <w:r>
        <w:t>Data</w:t>
      </w:r>
    </w:p>
    <w:p w14:paraId="163EF8EE" w14:textId="77777777" w:rsidR="005D0851" w:rsidRDefault="00BF548D">
      <w:pPr>
        <w:pStyle w:val="FirstParagraph"/>
      </w:pPr>
      <w:r>
        <w:t xml:space="preserve">The multispecies production model described above requires two basic inputs for </w:t>
      </w:r>
      <w:commentRangeStart w:id="14"/>
      <w:r>
        <w:t xml:space="preserve">one or more </w:t>
      </w:r>
      <w:commentRangeEnd w:id="14"/>
      <w:r>
        <w:rPr>
          <w:rStyle w:val="CommentReference"/>
        </w:rPr>
        <w:commentReference w:id="14"/>
      </w:r>
      <w:r>
        <w:t>species in a region: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w:t>
      </w:r>
      <w:r>
        <w:lastRenderedPageBreak/>
        <w:t>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1) the Northeast NL Shelf (NAFO divisions 2J3K), 2) the Grand Bank (NAFO divisions 3LNO), and 3) Southern NL (NAFO sub-division 3Ps; Figure 1).</w:t>
      </w:r>
    </w:p>
    <w:p w14:paraId="08E08C1E" w14:textId="77777777" w:rsidR="005D0851" w:rsidRDefault="00BF548D">
      <w:pPr>
        <w:pStyle w:val="BodyText"/>
      </w:pPr>
      <w:commentRangeStart w:id="15"/>
      <w:r>
        <w:t xml:space="preserve">Catch data were extracted from the STATLANT 21A database maintained by NAFO </w:t>
      </w:r>
      <w:commentRangeEnd w:id="15"/>
      <w:r>
        <w:rPr>
          <w:rStyle w:val="CommentReference"/>
        </w:rPr>
        <w:commentReference w:id="15"/>
      </w:r>
      <w:r>
        <w:t>(</w:t>
      </w:r>
      <w:hyperlink r:id="rId11">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In 1995, both survey vessels and gear were changed. Since then, a Campelen shrimp trawl has been used and, because of its smaller mesh size, a broader range of species and size groups have been captured (</w:t>
      </w:r>
      <w:hyperlink w:anchor="ref-chadwick2007">
        <w:r>
          <w:rPr>
            <w:rStyle w:val="Hyperlink"/>
          </w:rPr>
          <w:t>Chadwick et al., 2007</w:t>
        </w:r>
      </w:hyperlink>
      <w:r>
        <w:t xml:space="preserve">). Within each era of the survey (Yankee, Engel, or Campelen) and for each season and region, samples </w:t>
      </w:r>
      <w:ins w:id="16" w:author="Joanne Morgan" w:date="2023-08-28T10:47:00Z">
        <w:r w:rsidR="00091903">
          <w:t xml:space="preserve">used in this study </w:t>
        </w:r>
      </w:ins>
      <w:r>
        <w:t>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xml:space="preserve">) were then conducted on the remaining species to obtain indices of total biomass. To minimize bias introduced by inconsistent survey coverage, indices from years where more than 20% of the </w:t>
      </w:r>
      <w:r>
        <w:lastRenderedPageBreak/>
        <w:t>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or </w:t>
      </w:r>
      <w:r>
        <w:rPr>
          <w:i/>
          <w:iCs/>
        </w:rPr>
        <w:t>S. mentella</w:t>
      </w:r>
      <w:r>
        <w:t>), Wolffish spp. (</w:t>
      </w:r>
      <w:r>
        <w:rPr>
          <w:i/>
          <w:iCs/>
        </w:rPr>
        <w:t>Anarhichas lupus</w:t>
      </w:r>
      <w:r>
        <w:t xml:space="preserve"> or </w:t>
      </w:r>
      <w:r>
        <w:rPr>
          <w:i/>
          <w:iCs/>
        </w:rPr>
        <w:t>A. minor</w:t>
      </w:r>
      <w:r>
        <w:t>),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or </w:t>
      </w:r>
      <w:r>
        <w:rPr>
          <w:i/>
          <w:iCs/>
        </w:rPr>
        <w:t>Malacoraja senta</w:t>
      </w:r>
      <w:r>
        <w:t>).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296C2395" w14:textId="77777777" w:rsidR="005D0851" w:rsidRDefault="00BF548D">
      <w:pPr>
        <w:pStyle w:val="Heading3"/>
      </w:pPr>
      <w:bookmarkStart w:id="17" w:name="priors"/>
      <w:bookmarkEnd w:id="13"/>
      <w:r>
        <w:t>Priors</w:t>
      </w:r>
    </w:p>
    <w:p w14:paraId="349DC5F3" w14:textId="77777777" w:rsidR="005D0851" w:rsidRDefault="00BF548D">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23BFC54F" w14:textId="77777777" w:rsidR="005D0851" w:rsidRDefault="00BF548D">
      <w:pPr>
        <w:pStyle w:val="Heading4"/>
      </w:pPr>
      <w:bookmarkStart w:id="18"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F012CDD" w14:textId="77777777" w:rsidR="005D0851" w:rsidRDefault="00BF548D">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w:t>
      </w:r>
      <w:r>
        <w:lastRenderedPageBreak/>
        <w:t xml:space="preserve">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B22C080"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3F3FBA67" w14:textId="77777777" w:rsidR="005D0851" w:rsidRDefault="00BF548D">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w:t>
      </w:r>
      <w:commentRangeStart w:id="19"/>
      <w:r>
        <w:t>On the lower end, this prior imposes the assumption that the fishery is unlikely to have caught more fish in a single year than the system is capable of supporting</w:t>
      </w:r>
      <w:commentRangeEnd w:id="19"/>
      <w:r w:rsidR="00091903">
        <w:rPr>
          <w:rStyle w:val="CommentReference"/>
        </w:rPr>
        <w:commentReference w:id="19"/>
      </w:r>
      <w:r>
        <w:t xml:space="preserve"> and, on the upper end, it assumes that the maximum observed catch represents a portion of the true carrying capacity of the system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0ADEDB56" w14:textId="77777777" w:rsidR="005D0851" w:rsidRDefault="00BF548D">
      <w:pPr>
        <w:pStyle w:val="Heading4"/>
      </w:pPr>
      <w:bookmarkStart w:id="20" w:name="starting-biomass-b_1s"/>
      <w:bookmarkEnd w:id="18"/>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22912485" w14:textId="77777777" w:rsidR="005D0851" w:rsidRDefault="00BF548D">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3532D796"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7A856417" w14:textId="77777777" w:rsidR="005D0851" w:rsidRDefault="00BF548D">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w:t>
      </w:r>
      <w:r>
        <w:lastRenderedPageBreak/>
        <w:t>considered reasonable for this case study as there was an active fishery for each species at the start of the time series.</w:t>
      </w:r>
    </w:p>
    <w:p w14:paraId="6A5DB4F3" w14:textId="77777777" w:rsidR="005D0851" w:rsidRDefault="00BF548D">
      <w:pPr>
        <w:pStyle w:val="Heading4"/>
      </w:pPr>
      <w:bookmarkStart w:id="21" w:name="Xccfb9acb9fbb600a52636a6279610d36f06528c"/>
      <w:bookmarkEnd w:id="20"/>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27F3AC04" w14:textId="77777777" w:rsidR="005D0851" w:rsidRDefault="00BF548D">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1">
        <w:r>
          <w:rPr>
            <w:rStyle w:val="Hyperlink"/>
          </w:rPr>
          <w:t>Regular et al., 2021</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4A1AD1D8" w14:textId="77777777" w:rsidR="005D0851" w:rsidRDefault="00BF548D">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01F134BF" w14:textId="77777777" w:rsidR="005D0851" w:rsidRDefault="00BF548D">
      <w:pPr>
        <w:pStyle w:val="Heading4"/>
      </w:pPr>
      <w:bookmarkStart w:id="22" w:name="X50c46e4f9447be999e8db38f3be4dade35b6469"/>
      <w:bookmarkEnd w:id="21"/>
      <w:r>
        <w:rPr>
          <w:i/>
          <w:iCs/>
        </w:rPr>
        <w:lastRenderedPageBreak/>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1D813EBB" w14:textId="77777777" w:rsidR="005D0851" w:rsidRDefault="00BF548D">
      <w:pPr>
        <w:pStyle w:val="FirstParagraph"/>
      </w:pPr>
      <w:r>
        <w:t xml:space="preserve">The catchability of the spring and fall surveys conducted by DFO likely changed over time given the shift in gear from a Yankee to Engel to Campelen trawl as well as shifts in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w:t>
      </w:r>
      <w:commentRangeStart w:id="23"/>
      <w:r>
        <w:t xml:space="preserve">Survey coverage was then multiplied by 0.2 for deep-water species (Greenland Halibut, Atlantic Halibut, Witch Flounder, Redfish spp., White Hake, Silver Hake, and Monkfish) and 0.5 for the remainder. </w:t>
      </w:r>
      <w:commentRangeEnd w:id="23"/>
      <w:r w:rsidR="00091903">
        <w:rPr>
          <w:rStyle w:val="CommentReference"/>
        </w:rPr>
        <w:commentReference w:id="23"/>
      </w:r>
      <w:commentRangeStart w:id="24"/>
      <w:r>
        <w:t>The upper inflection point was set to 1 as it is unlikely, but still possible, that the survey indices represent overestimates of the true population size.</w:t>
      </w:r>
      <w:commentRangeEnd w:id="24"/>
      <w:r w:rsidR="00091903">
        <w:rPr>
          <w:rStyle w:val="CommentReference"/>
        </w:rPr>
        <w:commentReference w:id="24"/>
      </w:r>
      <w:r>
        <w:t xml:space="preserve"> The lower range is widened, especially for deep-water species, to account for gear selectivity issues [e.g., escapement under the footgear; Walsh (</w:t>
      </w:r>
      <w:hyperlink w:anchor="ref-walsh1992">
        <w:r>
          <w:rPr>
            <w:rStyle w:val="Hyperlink"/>
          </w:rPr>
          <w:t>1992</w:t>
        </w:r>
      </w:hyperlink>
      <w:r>
        <w:t>)] and availability issues (e.g., portion of the stock in deeper water than covered by the survey).</w:t>
      </w:r>
    </w:p>
    <w:p w14:paraId="02506062" w14:textId="77777777" w:rsidR="005D0851" w:rsidRDefault="00BF548D">
      <w:pPr>
        <w:pStyle w:val="BodyText"/>
      </w:pPr>
      <w:commentRangeStart w:id="25"/>
      <w:r>
        <w:t>A prior for observation error variance was informed by design-based estimates of survey variance associated with annual biomass estimates (</w:t>
      </w:r>
      <w:hyperlink w:anchor="ref-smith1981">
        <w:r>
          <w:rPr>
            <w:rStyle w:val="Hyperlink"/>
          </w:rPr>
          <w:t>Smith &amp; Somerton, 1981</w:t>
        </w:r>
      </w:hyperlink>
      <w:r>
        <w:t xml:space="preserve">). </w:t>
      </w:r>
      <w:commentRangeEnd w:id="25"/>
      <w:r w:rsidR="0090042E">
        <w:rPr>
          <w:rStyle w:val="CommentReference"/>
        </w:rPr>
        <w:commentReference w:id="25"/>
      </w:r>
      <w:r>
        <w:t>These estimates were used to calculate the coefficient of variation (CV) for each survey, year, and species; specifically,</w:t>
      </w:r>
    </w:p>
    <w:p w14:paraId="608E4EEA"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E765381" w14:textId="77777777" w:rsidR="005D0851" w:rsidRDefault="00BF548D">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w:t>
      </w:r>
      <w:r>
        <w:lastRenderedPageBreak/>
        <w:t xml:space="preserve">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2C6E6D4E" w14:textId="77777777" w:rsidR="005D0851" w:rsidRDefault="00BF548D">
      <w:pPr>
        <w:pStyle w:val="Heading3"/>
      </w:pPr>
      <w:bookmarkStart w:id="26" w:name="model-selection"/>
      <w:bookmarkEnd w:id="17"/>
      <w:bookmarkEnd w:id="22"/>
      <w:r>
        <w:t>Model selection</w:t>
      </w:r>
    </w:p>
    <w:p w14:paraId="23642354" w14:textId="77777777" w:rsidR="005D0851" w:rsidRDefault="00BF548D">
      <w:pPr>
        <w:pStyle w:val="FirstParagraph"/>
      </w:pPr>
      <w:r>
        <w:t>The degree to which density-dependence of the demersal fish community inhabiting the NL shelves is driven by intra versus interspecific competition is not known. Nor is the degree to which species interactions affect population dyanmics.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xml:space="preserve">). This collapse was not isolated to commercial stocks, as the biomass of several non-commercial species collapsed at the same time. This </w:t>
      </w:r>
      <w:del w:id="27" w:author="Joanne Morgan" w:date="2023-08-28T11:00:00Z">
        <w:r w:rsidDel="0090042E">
          <w:delText xml:space="preserve">collapse </w:delText>
        </w:r>
      </w:del>
      <w:r>
        <w:t>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53AC06C3" w14:textId="77777777" w:rsidR="005D0851" w:rsidRDefault="00BF548D">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w:t>
      </w:r>
      <w:commentRangeStart w:id="28"/>
      <w:r>
        <w:t xml:space="preserve">For this hypothesis and all others, annual reported landings of each species are subtracted. </w:t>
      </w:r>
      <w:commentRangeEnd w:id="28"/>
      <w:r w:rsidR="0090042E">
        <w:rPr>
          <w:rStyle w:val="CommentReference"/>
        </w:rPr>
        <w:commentReference w:id="28"/>
      </w:r>
      <w:r>
        <w:t xml:space="preserve">Residual variations not explained by intrinsic growth, density-dependent effects or landings are described by process errors that are 1) correlated across species and said correlations are </w:t>
      </w:r>
      <w:r>
        <w:lastRenderedPageBreak/>
        <w:t>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098C37FE" w14:textId="77777777" w:rsidR="005D0851" w:rsidRDefault="00BF548D">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634CB3E2" w14:textId="77777777" w:rsidR="005D0851" w:rsidRDefault="00BF548D">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109DD02D" w14:textId="77777777" w:rsidR="005D0851" w:rsidRDefault="00BF548D">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1148177B" w14:textId="77777777" w:rsidR="005D0851" w:rsidRDefault="00BF548D">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15B987F4" w14:textId="77777777" w:rsidR="005D0851" w:rsidRDefault="00BF548D">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xml:space="preserve">. This structure implies that </w:t>
      </w:r>
      <w:r>
        <w:lastRenderedPageBreak/>
        <w:t>environmental processes affect each species differently, however, there may be carry-over effects from one year to the next. The shift covariate was not applied.</w:t>
      </w:r>
    </w:p>
    <w:p w14:paraId="09A14CF2" w14:textId="77777777" w:rsidR="005D0851" w:rsidRDefault="00BF548D">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0C11A753" w14:textId="77777777" w:rsidR="005D0851" w:rsidRDefault="00BF548D">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1C4CD29A" w14:textId="77777777" w:rsidR="005D0851" w:rsidRDefault="00BF548D">
      <w:pPr>
        <w:pStyle w:val="BodyText"/>
      </w:pPr>
      <w:r>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w:t>
      </w:r>
      <w:commentRangeStart w:id="29"/>
      <w:r>
        <w:t xml:space="preserve">model folds </w:t>
      </w:r>
      <w:commentRangeEnd w:id="29"/>
      <w:r w:rsidR="0090042E">
        <w:rPr>
          <w:rStyle w:val="CommentReference"/>
        </w:rPr>
        <w:commentReference w:id="29"/>
      </w:r>
      <w:r>
        <w:t>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w:t>
      </w:r>
      <w:r>
        <w:lastRenderedPageBreak/>
        <w:t xml:space="preserve">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4A38214E" w14:textId="77777777" w:rsidR="005D085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6662927D" w14:textId="77777777" w:rsidR="005D0851" w:rsidRDefault="00BF548D">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w:t>
      </w:r>
    </w:p>
    <w:p w14:paraId="6E9AA77D" w14:textId="77777777" w:rsidR="005D0851" w:rsidRDefault="00BF548D">
      <w:pPr>
        <w:pStyle w:val="Heading1"/>
      </w:pPr>
      <w:bookmarkStart w:id="30" w:name="results"/>
      <w:bookmarkEnd w:id="6"/>
      <w:bookmarkEnd w:id="12"/>
      <w:bookmarkEnd w:id="26"/>
      <w:r>
        <w:t>Results</w:t>
      </w:r>
    </w:p>
    <w:p w14:paraId="3E185DB2" w14:textId="77777777" w:rsidR="005D0851" w:rsidRDefault="00BF548D">
      <w:pPr>
        <w:pStyle w:val="FirstParagraph"/>
      </w:pPr>
      <w:r>
        <w:t xml:space="preserve">Both cross-validation metrics (LOO-CV and Hindcast-CV scores) indicate that most </w:t>
      </w:r>
      <w:commentRangeStart w:id="31"/>
      <w:r>
        <w:t xml:space="preserve">multispecies production model formulations outperform a single-species production model when applied to seven species within three ecosystem production units (Northeast NL Shelf, Grand Bank, and Southern NL) off the east coast of Canada (Figure 2). </w:t>
      </w:r>
      <w:commentRangeEnd w:id="31"/>
      <w:r w:rsidR="0090042E">
        <w:rPr>
          <w:rStyle w:val="CommentReference"/>
        </w:rPr>
        <w:commentReference w:id="31"/>
      </w:r>
      <w:r>
        <w:t xml:space="preserve">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w:t>
      </w:r>
      <w:r>
        <w:lastRenderedPageBreak/>
        <w:t>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7CF5619" w14:textId="77777777" w:rsidR="005D0851" w:rsidRDefault="00BF548D">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7826CE27" w14:textId="77777777" w:rsidR="005D0851" w:rsidRDefault="00BF548D">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w:t>
      </w:r>
      <w:r>
        <w:lastRenderedPageBreak/>
        <w:t>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03BF9C8B" w14:textId="77777777" w:rsidR="005D0851" w:rsidRDefault="00BF548D">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68E52309" w14:textId="77777777" w:rsidR="005D0851" w:rsidRDefault="00BF548D">
      <w:pPr>
        <w:pStyle w:val="Heading1"/>
      </w:pPr>
      <w:bookmarkStart w:id="32" w:name="discussion"/>
      <w:bookmarkEnd w:id="30"/>
      <w:r>
        <w:lastRenderedPageBreak/>
        <w:t>Discussion</w:t>
      </w:r>
    </w:p>
    <w:p w14:paraId="397E065B" w14:textId="77777777" w:rsidR="005D0851" w:rsidRDefault="00BF548D">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as it is rooted in the idea that total production, and consequently system-level maximum sustainable yield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sympatric species. </w:t>
      </w:r>
      <w:r>
        <w:rPr>
          <w:i/>
          <w:iCs/>
        </w:rPr>
        <w:t>&lt;&lt;</w:t>
      </w:r>
      <w:commentRangeStart w:id="33"/>
      <w:r>
        <w:rPr>
          <w:i/>
          <w:iCs/>
        </w:rPr>
        <w:t>PMR: maybe this paragraph or concepts in this paragraph should be moved to the introduction?&gt;&gt;</w:t>
      </w:r>
      <w:commentRangeEnd w:id="33"/>
      <w:r w:rsidR="00597DD4">
        <w:rPr>
          <w:rStyle w:val="CommentReference"/>
        </w:rPr>
        <w:commentReference w:id="33"/>
      </w:r>
    </w:p>
    <w:p w14:paraId="32C6B517" w14:textId="77777777" w:rsidR="005D0851" w:rsidRDefault="00BF548D">
      <w:pPr>
        <w:pStyle w:val="BodyText"/>
      </w:pPr>
      <w:r>
        <w:t xml:space="preserve">Our case study focuses on the population dynamics of commercially important demersal fish stocks off the east coast of Canada. This is an interesting </w:t>
      </w:r>
      <w:del w:id="34" w:author="Joanne Morgan" w:date="2023-08-28T11:19:00Z">
        <w:r w:rsidDel="00597DD4">
          <w:delText xml:space="preserve">use </w:delText>
        </w:r>
      </w:del>
      <w:r>
        <w:t>case since most stocks in the area collapsed in the early 1990s (</w:t>
      </w:r>
      <w:hyperlink w:anchor="ref-lear1998">
        <w:r>
          <w:rPr>
            <w:rStyle w:val="Hyperlink"/>
          </w:rPr>
          <w:t>Lear, 1998</w:t>
        </w:r>
      </w:hyperlink>
      <w:r>
        <w:t xml:space="preserve">), and the relative contribution of fishing and </w:t>
      </w:r>
      <w:r>
        <w:lastRenderedPageBreak/>
        <w:t>environmental impacts remains uncertain (</w:t>
      </w:r>
      <w:hyperlink w:anchor="ref-pedersen2017">
        <w:r>
          <w:rPr>
            <w:rStyle w:val="Hyperlink"/>
          </w:rPr>
          <w:t>Pedersen et al., 2017</w:t>
        </w:r>
      </w:hyperlink>
      <w:r>
        <w:t xml:space="preserve">). We attempt to disentangle the impacts of fishing from environmental effects using our multispecies production model and, in doing so, we provide empirical evidence that environmental factors played a non-negligible role in the changes observed in the region. The focal species </w:t>
      </w:r>
      <w:del w:id="35" w:author="Joanne Morgan" w:date="2023-08-28T11:20:00Z">
        <w:r w:rsidDel="00597DD4">
          <w:delText>we studied</w:delText>
        </w:r>
      </w:del>
      <w:ins w:id="36" w:author="Joanne Morgan" w:date="2023-08-28T11:20:00Z">
        <w:r w:rsidR="00597DD4">
          <w:t>within each model</w:t>
        </w:r>
      </w:ins>
      <w:r>
        <w:t xml:space="preserve">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the regions’ maximal load,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Finally, the contributions of these ecologically mediated changes relative to fisheries landings indicate that fishing was not the sole cause of the collapses observed in the early 1990s.</w:t>
      </w:r>
    </w:p>
    <w:p w14:paraId="0C1DF9A4" w14:textId="77777777" w:rsidR="005D0851" w:rsidRDefault="00BF548D">
      <w:pPr>
        <w:pStyle w:val="BodyText"/>
      </w:pPr>
      <w:r>
        <w:t>Our inference that environmental factors were a key driver of stock collapses is surprising given the prevailing hypothesis is that fishing activity was the primary driver (</w:t>
      </w:r>
      <w:commentRangeStart w:id="37"/>
      <w:r>
        <w:fldChar w:fldCharType="begin"/>
      </w:r>
      <w:r>
        <w:instrText xml:space="preserve"> HYPERLINK \l "ref-gomes1995" \h </w:instrText>
      </w:r>
      <w:r>
        <w:fldChar w:fldCharType="separate"/>
      </w:r>
      <w:r>
        <w:rPr>
          <w:rStyle w:val="Hyperlink"/>
        </w:rPr>
        <w:t>GOMES et al., 1995</w:t>
      </w:r>
      <w:r>
        <w:rPr>
          <w:rStyle w:val="Hyperlink"/>
        </w:rPr>
        <w:fldChar w:fldCharType="end"/>
      </w:r>
      <w:commentRangeEnd w:id="37"/>
      <w:r w:rsidR="00597DD4">
        <w:rPr>
          <w:rStyle w:val="CommentReference"/>
        </w:rPr>
        <w:commentReference w:id="37"/>
      </w:r>
      <w:r>
        <w:t xml:space="preserve">; </w:t>
      </w:r>
      <w:commentRangeStart w:id="38"/>
      <w:r>
        <w:t xml:space="preserve">e.g., </w:t>
      </w:r>
      <w:hyperlink w:anchor="ref-hutchings1996">
        <w:r>
          <w:rPr>
            <w:rStyle w:val="Hyperlink"/>
          </w:rPr>
          <w:t>Hutchings, 1996</w:t>
        </w:r>
      </w:hyperlink>
      <w:commentRangeEnd w:id="38"/>
      <w:r w:rsidR="00597DD4">
        <w:rPr>
          <w:rStyle w:val="CommentReference"/>
        </w:rPr>
        <w:commentReference w:id="38"/>
      </w:r>
      <w:r>
        <w:t xml:space="preserve">; but see </w:t>
      </w:r>
      <w:hyperlink w:anchor="ref-morgan2002">
        <w:r>
          <w:rPr>
            <w:rStyle w:val="Hyperlink"/>
          </w:rPr>
          <w:t>Morgan et al., 2002</w:t>
        </w:r>
      </w:hyperlink>
      <w:r>
        <w:t xml:space="preserve">). Since our model utilizes </w:t>
      </w:r>
      <w:r>
        <w:rPr>
          <w:i/>
          <w:iCs/>
        </w:rPr>
        <w:t>reported</w:t>
      </w:r>
      <w:r>
        <w:t xml:space="preserve"> fisheries landings, a portion of these losses may be attributed to illegal fishing activity. </w:t>
      </w:r>
      <w:commentRangeStart w:id="39"/>
      <w:r>
        <w:t xml:space="preserve">However, it seems unlikely that the industry had the capacity to covertly exceed typical </w:t>
      </w:r>
      <w:ins w:id="40" w:author="Joanne Morgan" w:date="2023-08-28T11:22:00Z">
        <w:r w:rsidR="00597DD4">
          <w:t xml:space="preserve">reported </w:t>
        </w:r>
      </w:ins>
      <w:r>
        <w:t xml:space="preserve">annual catches in the late 1980s. </w:t>
      </w:r>
      <w:commentRangeEnd w:id="39"/>
      <w:r w:rsidR="00597DD4">
        <w:rPr>
          <w:rStyle w:val="CommentReference"/>
        </w:rPr>
        <w:commentReference w:id="39"/>
      </w:r>
      <w:r>
        <w:t xml:space="preserve">For instance, annual catches in the late 1980s across the Northeast NL Shelf and the Grand Bank totaled ~450 kt while residual losses estimated by the model in the early 1990s was ~1000 kt. The illegal fishery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 xml:space="preserve">Pedersen et </w:t>
        </w:r>
        <w:r>
          <w:rPr>
            <w:rStyle w:val="Hyperlink"/>
          </w:rPr>
          <w:lastRenderedPageBreak/>
          <w:t>al., 2017</w:t>
        </w:r>
      </w:hyperlink>
      <w:r>
        <w:t>), however, it remains contentious and perplexing as we lack specific causal explanations.</w:t>
      </w:r>
    </w:p>
    <w:p w14:paraId="74FECA96" w14:textId="77777777" w:rsidR="005D0851" w:rsidRDefault="00BF548D">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1">
        <w:r>
          <w:rPr>
            <w:rStyle w:val="Hyperlink"/>
          </w:rPr>
          <w:t>Regular et al., 2021</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w:t>
      </w:r>
      <w:commentRangeStart w:id="41"/>
      <w:r>
        <w:rPr>
          <w:b/>
          <w:bCs/>
        </w:rPr>
        <w:t>paradox of plankton</w:t>
      </w:r>
      <w:r>
        <w:t xml:space="preserve"> </w:t>
      </w:r>
      <w:commentRangeEnd w:id="41"/>
      <w:r w:rsidR="00597DD4">
        <w:rPr>
          <w:rStyle w:val="CommentReference"/>
        </w:rPr>
        <w:commentReference w:id="41"/>
      </w:r>
      <w:r>
        <w:t xml:space="preserve">where the continuous interaction of ecological and environmental factors </w:t>
      </w:r>
      <w:r>
        <w:lastRenderedPageBreak/>
        <w:t>give rise to “oscillations and chaos, with a continuous wax and wane of species within the community” (</w:t>
      </w:r>
      <w:hyperlink w:anchor="ref-scheffer2003">
        <w:r>
          <w:rPr>
            <w:rStyle w:val="Hyperlink"/>
          </w:rPr>
          <w:t>Scheffer et al., 2003</w:t>
        </w:r>
      </w:hyperlink>
      <w:r>
        <w:t>).</w:t>
      </w:r>
    </w:p>
    <w:p w14:paraId="6DAEDDAB" w14:textId="77777777" w:rsidR="005D0851" w:rsidRDefault="00BF548D">
      <w:pPr>
        <w:pStyle w:val="BodyText"/>
      </w:pPr>
      <w:r>
        <w:t>Like all models, our multispecies production model is an imperfect abstraction of nature and while it may be useful in some contexts, it is important to consider its limitations when interpreting results. Our study’s results indicate that total biomass in the Northeast NL Shelf production unit was above the carrying capacity of that region in the early 1990s. This finding contradicts historic records that suggest populations such as Northern cod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xml:space="preserve">). </w:t>
      </w:r>
      <w:commentRangeStart w:id="42"/>
      <w:r>
        <w:t>Still, it is possible that the 1970s represents a period of unusually high productivity, where the system may have exceeded the carrying capacity</w:t>
      </w:r>
      <w:commentRangeEnd w:id="42"/>
      <w:r w:rsidR="00597DD4">
        <w:rPr>
          <w:rStyle w:val="CommentReference"/>
        </w:rPr>
        <w:commentReference w:id="42"/>
      </w:r>
      <w:r>
        <w:t>. 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community seems unrealistic. This result may be an artifact of low estimates </w:t>
      </w:r>
      <w:ins w:id="43" w:author="Joanne Morgan" w:date="2023-08-28T11:26:00Z">
        <w:r w:rsidR="00597DD4">
          <w:t xml:space="preserve">of </w:t>
        </w:r>
      </w:ins>
      <w:r>
        <w:t xml:space="preserve">survey catchability or the model’s inability to properly account for year effects. Observation errors are assumed to be lognormally distributed, however, extreme catch events / black swan events in space can introduce ‘year effects’ that may be better accounted </w:t>
      </w:r>
      <w:ins w:id="44" w:author="Joanne Morgan" w:date="2023-08-28T11:26:00Z">
        <w:r w:rsidR="00597DD4">
          <w:t xml:space="preserve">for by </w:t>
        </w:r>
      </w:ins>
      <w:r>
        <w:t xml:space="preserve">assuming </w:t>
      </w:r>
      <w:del w:id="45" w:author="Joanne Morgan" w:date="2023-08-28T11:27:00Z">
        <w:r w:rsidDel="00597DD4">
          <w:delText xml:space="preserve">the </w:delText>
        </w:r>
      </w:del>
      <w:r>
        <w:t>a distribution with heavier tails, such as the t-distribution (</w:t>
      </w:r>
      <w:hyperlink w:anchor="ref-anderson2019">
        <w:r>
          <w:rPr>
            <w:rStyle w:val="Hyperlink"/>
          </w:rPr>
          <w:t>Anderson &amp; Ward, 2019</w:t>
        </w:r>
      </w:hyperlink>
      <w:r>
        <w:t>).</w:t>
      </w:r>
    </w:p>
    <w:p w14:paraId="687AC8A7" w14:textId="77777777" w:rsidR="005D0851" w:rsidRDefault="00BF548D">
      <w:pPr>
        <w:pStyle w:val="Heading2"/>
      </w:pPr>
      <w:bookmarkStart w:id="46" w:name="conclusion"/>
      <w:r>
        <w:t>Conclusion</w:t>
      </w:r>
    </w:p>
    <w:p w14:paraId="49709F49" w14:textId="77777777" w:rsidR="005D0851" w:rsidRDefault="00BF548D">
      <w:pPr>
        <w:pStyle w:val="FirstParagraph"/>
      </w:pPr>
      <w:r>
        <w:t xml:space="preserve">There is a growing need to apply an ecosystem based fisheries management (EBFM; </w:t>
      </w:r>
      <w:hyperlink w:anchor="ref-pikitch2004">
        <w:r>
          <w:rPr>
            <w:rStyle w:val="Hyperlink"/>
          </w:rPr>
          <w:t>Pikitch et al., 2004</w:t>
        </w:r>
      </w:hyperlink>
      <w:r>
        <w:t xml:space="preserve">). A robust understanding of the interactions of multiple species with each other and their environment is a critical prerequisite for advancing a EBFM. There are multiple analytically </w:t>
      </w:r>
      <w:r>
        <w:lastRenderedPageBreak/>
        <w:t>pathways to support such management, however, data requirements are often prohibitive (</w:t>
      </w:r>
      <w:hyperlink w:anchor="ref-latour2003">
        <w:r>
          <w:rPr>
            <w:rStyle w:val="Hyperlink"/>
          </w:rPr>
          <w:t>Latour et al., 2003</w:t>
        </w:r>
      </w:hyperlink>
      <w:r>
        <w:t xml:space="preserve">). </w:t>
      </w:r>
      <w:commentRangeStart w:id="47"/>
      <w:r>
        <w:t xml:space="preserve">Our study documents a production model that can estimate the population dynamics of multiple stocks using commonly available landings and survey index data. This approach provides a relatively tractable method for informing management decisions for multiple sympatric and data-limited species. </w:t>
      </w:r>
      <w:commentRangeEnd w:id="47"/>
      <w:r w:rsidR="00F91D63">
        <w:rPr>
          <w:rStyle w:val="CommentReference"/>
        </w:rPr>
        <w:commentReference w:id="47"/>
      </w:r>
      <w:r>
        <w:t>While our model has limitations, it represents a step forward in understanding the complex interactions among species in marine ecosystems and provides a framework for supporting sustainable management decisions.</w:t>
      </w:r>
    </w:p>
    <w:p w14:paraId="009B8D96" w14:textId="77777777" w:rsidR="005D0851" w:rsidRDefault="00BF548D">
      <w:pPr>
        <w:pStyle w:val="Heading1"/>
      </w:pPr>
      <w:bookmarkStart w:id="48" w:name="acknowledgements"/>
      <w:bookmarkEnd w:id="32"/>
      <w:bookmarkEnd w:id="46"/>
      <w:r>
        <w:t>Acknowledgements</w:t>
      </w:r>
    </w:p>
    <w:p w14:paraId="6A9373B4" w14:textId="77777777" w:rsidR="005D0851" w:rsidRDefault="00BF548D">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 . The abstract, introduction, and discussion sections were written with the assistance of ChatGPT (March 14, 2023 version).</w:t>
      </w:r>
    </w:p>
    <w:p w14:paraId="35CAB3C8" w14:textId="77777777" w:rsidR="005D0851" w:rsidRDefault="00BF548D">
      <w:pPr>
        <w:pStyle w:val="Heading1"/>
      </w:pPr>
      <w:bookmarkStart w:id="49" w:name="references"/>
      <w:bookmarkEnd w:id="48"/>
      <w:r>
        <w:t>References</w:t>
      </w:r>
    </w:p>
    <w:p w14:paraId="3C5FDA78" w14:textId="77777777" w:rsidR="005D0851" w:rsidRDefault="00BF548D">
      <w:pPr>
        <w:pStyle w:val="Bibliography"/>
      </w:pPr>
      <w:bookmarkStart w:id="50" w:name="ref-albertsen2018"/>
      <w:bookmarkStart w:id="51"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444D0D21" w14:textId="77777777" w:rsidR="005D0851" w:rsidRDefault="00BF548D">
      <w:pPr>
        <w:pStyle w:val="Bibliography"/>
      </w:pPr>
      <w:bookmarkStart w:id="52" w:name="ref-anderson2019"/>
      <w:bookmarkEnd w:id="50"/>
      <w:r>
        <w:t xml:space="preserve">Anderson, S. C., &amp; Ward, E. J. (2019). Black swans in space: Modeling spatiotemporal processes with extremes. </w:t>
      </w:r>
      <w:r>
        <w:rPr>
          <w:i/>
          <w:iCs/>
        </w:rPr>
        <w:t>Ecology</w:t>
      </w:r>
      <w:r>
        <w:t xml:space="preserve">, </w:t>
      </w:r>
      <w:r>
        <w:rPr>
          <w:i/>
          <w:iCs/>
        </w:rPr>
        <w:t>100</w:t>
      </w:r>
      <w:r>
        <w:t>(1), e02403.</w:t>
      </w:r>
    </w:p>
    <w:p w14:paraId="5AFD752A" w14:textId="77777777" w:rsidR="005D0851" w:rsidRDefault="00BF548D">
      <w:pPr>
        <w:pStyle w:val="Bibliography"/>
      </w:pPr>
      <w:bookmarkStart w:id="53" w:name="ref-atkinson1994"/>
      <w:bookmarkEnd w:id="52"/>
      <w:r>
        <w:lastRenderedPageBreak/>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4884C5B7" w14:textId="77777777" w:rsidR="005D0851" w:rsidRDefault="00BF548D">
      <w:pPr>
        <w:pStyle w:val="Bibliography"/>
      </w:pPr>
      <w:bookmarkStart w:id="54" w:name="ref-brown2022"/>
      <w:bookmarkEnd w:id="53"/>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28A1E82E" w14:textId="77777777" w:rsidR="005D0851" w:rsidRDefault="00BF548D">
      <w:pPr>
        <w:pStyle w:val="Bibliography"/>
      </w:pPr>
      <w:bookmarkStart w:id="55" w:name="ref-bundy2012"/>
      <w:bookmarkEnd w:id="54"/>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6654F95C" w14:textId="77777777" w:rsidR="005D0851" w:rsidRDefault="00BF548D">
      <w:pPr>
        <w:pStyle w:val="Bibliography"/>
      </w:pPr>
      <w:bookmarkStart w:id="56" w:name="ref-cadigan2015"/>
      <w:bookmarkEnd w:id="55"/>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64EF37A7" w14:textId="77777777" w:rsidR="005D0851" w:rsidRDefault="00BF548D">
      <w:pPr>
        <w:pStyle w:val="Bibliography"/>
      </w:pPr>
      <w:bookmarkStart w:id="57" w:name="ref-cadigan2022"/>
      <w:bookmarkEnd w:id="56"/>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4836FDD3" w14:textId="77777777" w:rsidR="005D0851" w:rsidRDefault="00BF548D">
      <w:pPr>
        <w:pStyle w:val="Bibliography"/>
      </w:pPr>
      <w:bookmarkStart w:id="58" w:name="ref-chadwick2007"/>
      <w:bookmarkEnd w:id="57"/>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00B460AC" w14:textId="77777777" w:rsidR="005D0851" w:rsidRDefault="00BF548D">
      <w:pPr>
        <w:pStyle w:val="Bibliography"/>
      </w:pPr>
      <w:bookmarkStart w:id="59" w:name="ref-chapman2018"/>
      <w:bookmarkEnd w:id="58"/>
      <w:r>
        <w:t xml:space="preserve">Chapman, E. J., &amp; Byron, C. J. (2018). The flexible application of carrying capacity in ecology. </w:t>
      </w:r>
      <w:r>
        <w:rPr>
          <w:i/>
          <w:iCs/>
        </w:rPr>
        <w:t>Global Ecology and Conservation</w:t>
      </w:r>
      <w:r>
        <w:t xml:space="preserve">, </w:t>
      </w:r>
      <w:r>
        <w:rPr>
          <w:i/>
          <w:iCs/>
        </w:rPr>
        <w:t>13</w:t>
      </w:r>
      <w:r>
        <w:t>, e00365.</w:t>
      </w:r>
    </w:p>
    <w:p w14:paraId="22ED51DF" w14:textId="77777777" w:rsidR="005D0851" w:rsidRDefault="00BF548D">
      <w:pPr>
        <w:pStyle w:val="Bibliography"/>
      </w:pPr>
      <w:bookmarkStart w:id="60" w:name="ref-dawe2012"/>
      <w:bookmarkEnd w:id="59"/>
      <w:r>
        <w:lastRenderedPageBreak/>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056A9203" w14:textId="77777777" w:rsidR="005D0851" w:rsidRDefault="00BF548D">
      <w:pPr>
        <w:pStyle w:val="Bibliography"/>
      </w:pPr>
      <w:bookmarkStart w:id="61" w:name="ref-del2004"/>
      <w:bookmarkEnd w:id="60"/>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64702C55" w14:textId="77777777" w:rsidR="005D0851" w:rsidRDefault="00BF548D">
      <w:pPr>
        <w:pStyle w:val="Bibliography"/>
      </w:pPr>
      <w:bookmarkStart w:id="62" w:name="ref-fogarty2012"/>
      <w:bookmarkEnd w:id="61"/>
      <w:r>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3E6193A8" w14:textId="77777777" w:rsidR="005D0851" w:rsidRDefault="00BF548D">
      <w:pPr>
        <w:pStyle w:val="Bibliography"/>
      </w:pPr>
      <w:bookmarkStart w:id="63" w:name="ref-froese2017"/>
      <w:bookmarkEnd w:id="62"/>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406A5CDD" w14:textId="77777777" w:rsidR="005D0851" w:rsidRDefault="00BF548D">
      <w:pPr>
        <w:pStyle w:val="Bibliography"/>
      </w:pPr>
      <w:bookmarkStart w:id="64" w:name="ref-fulton2011"/>
      <w:bookmarkEnd w:id="63"/>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4B79530A" w14:textId="77777777" w:rsidR="005D0851" w:rsidRDefault="00BF548D">
      <w:pPr>
        <w:pStyle w:val="Bibliography"/>
      </w:pPr>
      <w:bookmarkStart w:id="65" w:name="ref-gamble2009"/>
      <w:bookmarkEnd w:id="64"/>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08738EC9" w14:textId="77777777" w:rsidR="005D0851" w:rsidRDefault="00BF548D">
      <w:pPr>
        <w:pStyle w:val="Bibliography"/>
      </w:pPr>
      <w:bookmarkStart w:id="66" w:name="ref-gomes1995"/>
      <w:bookmarkEnd w:id="65"/>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54397AED" w14:textId="77777777" w:rsidR="005D0851" w:rsidRDefault="00BF548D">
      <w:pPr>
        <w:pStyle w:val="Bibliography"/>
      </w:pPr>
      <w:bookmarkStart w:id="67" w:name="ref-hilborn1995"/>
      <w:bookmarkEnd w:id="66"/>
      <w:r>
        <w:lastRenderedPageBreak/>
        <w:t xml:space="preserve">Hilborn, R., Walters, C. J., &amp; Ludwig, D. (1995). Sustainable exploitation of renewable resources. </w:t>
      </w:r>
      <w:r>
        <w:rPr>
          <w:i/>
          <w:iCs/>
        </w:rPr>
        <w:t>Annual Review of Ecology and Systematics</w:t>
      </w:r>
      <w:r>
        <w:t xml:space="preserve">, </w:t>
      </w:r>
      <w:r>
        <w:rPr>
          <w:i/>
          <w:iCs/>
        </w:rPr>
        <w:t>26</w:t>
      </w:r>
      <w:r>
        <w:t>(1), 45–67.</w:t>
      </w:r>
    </w:p>
    <w:p w14:paraId="3C2DC1FF" w14:textId="77777777" w:rsidR="005D0851" w:rsidRDefault="00BF548D">
      <w:pPr>
        <w:pStyle w:val="Bibliography"/>
      </w:pPr>
      <w:bookmarkStart w:id="68" w:name="ref-hutchings1996"/>
      <w:bookmarkEnd w:id="67"/>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42781CB1" w14:textId="77777777" w:rsidR="005D0851" w:rsidRDefault="00BF548D">
      <w:pPr>
        <w:pStyle w:val="Bibliography"/>
      </w:pPr>
      <w:bookmarkStart w:id="69" w:name="ref-hutchings2021"/>
      <w:bookmarkEnd w:id="68"/>
      <w:r>
        <w:t xml:space="preserve">Hutchings, J. A. (2021). </w:t>
      </w:r>
      <w:r>
        <w:rPr>
          <w:i/>
          <w:iCs/>
        </w:rPr>
        <w:t>A primer of life histories: Ecology, evolution, and application</w:t>
      </w:r>
      <w:r>
        <w:t>. Oxford University Press.</w:t>
      </w:r>
    </w:p>
    <w:p w14:paraId="14F18FF7" w14:textId="77777777" w:rsidR="005D0851" w:rsidRDefault="00BF548D">
      <w:pPr>
        <w:pStyle w:val="Bibliography"/>
      </w:pPr>
      <w:bookmarkStart w:id="70" w:name="ref-kell2016"/>
      <w:bookmarkEnd w:id="69"/>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122CAC28" w14:textId="77777777" w:rsidR="005D0851" w:rsidRDefault="00BF548D">
      <w:pPr>
        <w:pStyle w:val="Bibliography"/>
      </w:pPr>
      <w:bookmarkStart w:id="71" w:name="ref-kristensen2015"/>
      <w:bookmarkEnd w:id="70"/>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2">
        <w:r>
          <w:rPr>
            <w:rStyle w:val="Hyperlink"/>
          </w:rPr>
          <w:t>https://doi.org/10.18637/jss.v070.i05</w:t>
        </w:r>
      </w:hyperlink>
    </w:p>
    <w:p w14:paraId="56D54190" w14:textId="77777777" w:rsidR="005D0851" w:rsidRDefault="00BF548D">
      <w:pPr>
        <w:pStyle w:val="Bibliography"/>
      </w:pPr>
      <w:bookmarkStart w:id="72" w:name="ref-latour2003"/>
      <w:bookmarkEnd w:id="71"/>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4E4112A5" w14:textId="77777777" w:rsidR="005D0851" w:rsidRDefault="00BF548D">
      <w:pPr>
        <w:pStyle w:val="Bibliography"/>
      </w:pPr>
      <w:bookmarkStart w:id="73" w:name="ref-lear1998"/>
      <w:bookmarkEnd w:id="72"/>
      <w:r>
        <w:t xml:space="preserve">Lear, W. H. (1998). History of fisheries in the northwest atlantic: The 500-year perspective. </w:t>
      </w:r>
      <w:r>
        <w:rPr>
          <w:i/>
          <w:iCs/>
        </w:rPr>
        <w:t>Journal of Northwest Atlantic Fishery Science</w:t>
      </w:r>
      <w:r>
        <w:t xml:space="preserve">, </w:t>
      </w:r>
      <w:r>
        <w:rPr>
          <w:i/>
          <w:iCs/>
        </w:rPr>
        <w:t>23</w:t>
      </w:r>
      <w:r>
        <w:t>.</w:t>
      </w:r>
    </w:p>
    <w:p w14:paraId="31751BE9" w14:textId="77777777" w:rsidR="005D0851" w:rsidRDefault="00BF548D">
      <w:pPr>
        <w:pStyle w:val="Bibliography"/>
      </w:pPr>
      <w:bookmarkStart w:id="74" w:name="ref-licandeo2020"/>
      <w:bookmarkEnd w:id="73"/>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74BC768F" w14:textId="77777777" w:rsidR="005D0851" w:rsidRDefault="00BF548D">
      <w:pPr>
        <w:pStyle w:val="Bibliography"/>
      </w:pPr>
      <w:bookmarkStart w:id="75" w:name="ref-link2019"/>
      <w:bookmarkEnd w:id="74"/>
      <w:r>
        <w:lastRenderedPageBreak/>
        <w:t xml:space="preserve">Link, J., &amp; Sherwood, G. (2019). Feeding, growth, and trophic ecology. In G. A. Rose (Ed.), </w:t>
      </w:r>
      <w:r>
        <w:rPr>
          <w:i/>
          <w:iCs/>
        </w:rPr>
        <w:t>Atlantic cod: A bio-ecology</w:t>
      </w:r>
      <w:r>
        <w:t xml:space="preserve"> (pp. 219–286). John Wiley &amp; Sons.</w:t>
      </w:r>
    </w:p>
    <w:p w14:paraId="7D1D3FA3" w14:textId="77777777" w:rsidR="005D0851" w:rsidRDefault="00BF548D">
      <w:pPr>
        <w:pStyle w:val="Bibliography"/>
      </w:pPr>
      <w:bookmarkStart w:id="76" w:name="ref-lotka1925"/>
      <w:bookmarkEnd w:id="75"/>
      <w:r>
        <w:t xml:space="preserve">Lotka, A. J. (1925). </w:t>
      </w:r>
      <w:r>
        <w:rPr>
          <w:i/>
          <w:iCs/>
        </w:rPr>
        <w:t>Elements of physical biology</w:t>
      </w:r>
      <w:r>
        <w:t>. Williams &amp; Wilkins.</w:t>
      </w:r>
    </w:p>
    <w:p w14:paraId="661F3B6F" w14:textId="77777777" w:rsidR="005D0851" w:rsidRDefault="00BF548D">
      <w:pPr>
        <w:pStyle w:val="Bibliography"/>
      </w:pPr>
      <w:bookmarkStart w:id="77" w:name="ref-millar2000"/>
      <w:bookmarkEnd w:id="76"/>
      <w:r>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57380ED4" w14:textId="77777777" w:rsidR="005D0851" w:rsidRDefault="00BF548D">
      <w:pPr>
        <w:pStyle w:val="Bibliography"/>
      </w:pPr>
      <w:bookmarkStart w:id="78" w:name="ref-morgan2002"/>
      <w:bookmarkEnd w:id="77"/>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1C9DBE5F" w14:textId="77777777" w:rsidR="005D0851" w:rsidRDefault="00BF548D">
      <w:pPr>
        <w:pStyle w:val="Bibliography"/>
      </w:pPr>
      <w:bookmarkStart w:id="79" w:name="ref-mueter2006"/>
      <w:bookmarkEnd w:id="78"/>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6A9D16CE" w14:textId="77777777" w:rsidR="005D0851" w:rsidRDefault="00BF548D">
      <w:pPr>
        <w:pStyle w:val="Bibliography"/>
      </w:pPr>
      <w:bookmarkStart w:id="80" w:name="ref-mullowney2014"/>
      <w:bookmarkEnd w:id="79"/>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2780C3F0" w14:textId="77777777" w:rsidR="005D0851" w:rsidRDefault="00BF548D">
      <w:pPr>
        <w:pStyle w:val="Bibliography"/>
      </w:pPr>
      <w:bookmarkStart w:id="81" w:name="ref-nafo2019"/>
      <w:bookmarkEnd w:id="80"/>
      <w:r>
        <w:t xml:space="preserve">NAFO. (2019). Report of the Scientific Council, 31 May – 13 June 2019, Halifax, Canada. </w:t>
      </w:r>
      <w:r>
        <w:rPr>
          <w:i/>
          <w:iCs/>
        </w:rPr>
        <w:t>NAFO SCS Doc</w:t>
      </w:r>
      <w:r>
        <w:t xml:space="preserve">, </w:t>
      </w:r>
      <w:r>
        <w:rPr>
          <w:i/>
          <w:iCs/>
        </w:rPr>
        <w:t>19/20</w:t>
      </w:r>
      <w:r>
        <w:t xml:space="preserve">. </w:t>
      </w:r>
      <w:hyperlink r:id="rId13">
        <w:r>
          <w:rPr>
            <w:rStyle w:val="Hyperlink"/>
          </w:rPr>
          <w:t>https://www.nafo.int/Portals/0/PDFs/sc/2019/scs19-20.pdf</w:t>
        </w:r>
      </w:hyperlink>
    </w:p>
    <w:p w14:paraId="11E9A5A2" w14:textId="77777777" w:rsidR="005D0851" w:rsidRDefault="00BF548D">
      <w:pPr>
        <w:pStyle w:val="Bibliography"/>
      </w:pPr>
      <w:bookmarkStart w:id="82" w:name="ref-pauly2021"/>
      <w:bookmarkEnd w:id="81"/>
      <w:r>
        <w:t xml:space="preserve">Pauly, D., &amp; Froese, R. (2021). MSY needs no epitaph—but it was abused. </w:t>
      </w:r>
      <w:r>
        <w:rPr>
          <w:i/>
          <w:iCs/>
        </w:rPr>
        <w:t>ICES Journal of Marine Science</w:t>
      </w:r>
      <w:r>
        <w:t xml:space="preserve">, </w:t>
      </w:r>
      <w:r>
        <w:rPr>
          <w:i/>
          <w:iCs/>
        </w:rPr>
        <w:t>78</w:t>
      </w:r>
      <w:r>
        <w:t>(6), 2204–2210.</w:t>
      </w:r>
    </w:p>
    <w:p w14:paraId="4B83EA5A" w14:textId="77777777" w:rsidR="005D0851" w:rsidRDefault="00BF548D">
      <w:pPr>
        <w:pStyle w:val="Bibliography"/>
      </w:pPr>
      <w:bookmarkStart w:id="83" w:name="ref-pedersen2017"/>
      <w:bookmarkEnd w:id="82"/>
      <w:r>
        <w:t xml:space="preserve">Pedersen, E. J., Thompson, P. L., Ball, R. A., Fortin, M.-J., Gouhier, T. C., Link, H., Moritz, C., Nenzen, H., Stanley, R. R., Taranu, Z. E., et al. (2017). Signatures of the collapse and </w:t>
      </w:r>
      <w:r>
        <w:lastRenderedPageBreak/>
        <w:t xml:space="preserve">incipient recovery of an overexploited marine ecosystem. </w:t>
      </w:r>
      <w:r>
        <w:rPr>
          <w:i/>
          <w:iCs/>
        </w:rPr>
        <w:t>Royal Society Open Science</w:t>
      </w:r>
      <w:r>
        <w:t xml:space="preserve">, </w:t>
      </w:r>
      <w:r>
        <w:rPr>
          <w:i/>
          <w:iCs/>
        </w:rPr>
        <w:t>4</w:t>
      </w:r>
      <w:r>
        <w:t>(7), 170215.</w:t>
      </w:r>
    </w:p>
    <w:p w14:paraId="1EC268DF" w14:textId="77777777" w:rsidR="005D0851" w:rsidRDefault="00BF548D">
      <w:pPr>
        <w:pStyle w:val="Bibliography"/>
      </w:pPr>
      <w:bookmarkStart w:id="84" w:name="ref-pepin2014"/>
      <w:bookmarkEnd w:id="83"/>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233DF540" w14:textId="77777777" w:rsidR="005D0851" w:rsidRDefault="00BF548D">
      <w:pPr>
        <w:pStyle w:val="Bibliography"/>
      </w:pPr>
      <w:bookmarkStart w:id="85" w:name="ref-pikitch2004"/>
      <w:bookmarkEnd w:id="84"/>
      <w:r>
        <w:t xml:space="preserve">Pikitch, E. K., Santora, C., Babcock, E. A., Bakun, A., Bonfil, R., Conover, D. O., Dayton, P., Doukakis, P., Fluharty, D., Heneman, B., et al. (2004). Ecosystem-based fishery management. In </w:t>
      </w:r>
      <w:r>
        <w:rPr>
          <w:i/>
          <w:iCs/>
        </w:rPr>
        <w:t>Science</w:t>
      </w:r>
      <w:r>
        <w:t xml:space="preserve"> (No. 5682; Vol. 305, pp. 346–347). American Association for the Advancement of Science.</w:t>
      </w:r>
    </w:p>
    <w:p w14:paraId="1AF6619B" w14:textId="77777777" w:rsidR="005D0851" w:rsidRDefault="00BF548D">
      <w:pPr>
        <w:pStyle w:val="Bibliography"/>
      </w:pPr>
      <w:bookmarkStart w:id="86" w:name="ref-pinsky2021"/>
      <w:bookmarkEnd w:id="85"/>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790B4A7A" w14:textId="77777777" w:rsidR="005D0851" w:rsidRDefault="00BF548D">
      <w:pPr>
        <w:pStyle w:val="Bibliography"/>
      </w:pPr>
      <w:bookmarkStart w:id="87" w:name="ref-R"/>
      <w:bookmarkEnd w:id="86"/>
      <w:r>
        <w:t xml:space="preserve">R Core Team. (2021). </w:t>
      </w:r>
      <w:r>
        <w:rPr>
          <w:i/>
          <w:iCs/>
        </w:rPr>
        <w:t>R: A language and environment for statistical computing</w:t>
      </w:r>
      <w:r>
        <w:t xml:space="preserve">. R Foundation for Statistical Computing. </w:t>
      </w:r>
      <w:hyperlink r:id="rId14">
        <w:r>
          <w:rPr>
            <w:rStyle w:val="Hyperlink"/>
          </w:rPr>
          <w:t>https://www.R-project.org/</w:t>
        </w:r>
      </w:hyperlink>
    </w:p>
    <w:p w14:paraId="41351BFD" w14:textId="77777777" w:rsidR="005D0851" w:rsidRDefault="00BF548D">
      <w:pPr>
        <w:pStyle w:val="Bibliography"/>
      </w:pPr>
      <w:bookmarkStart w:id="88" w:name="ref-regular2021"/>
      <w:bookmarkEnd w:id="87"/>
      <w:r>
        <w:t xml:space="preserve">Regular, P. M., Buren, A. D., Dwyer, K. S., Cadigan, N. G., Gregory, R. S., Koen-Alonso, M., Rideout, R. M., Robertson, G. J., Robertson, M. D., Stenson, G. B., Wheeland, L. J., &amp; Zhang, F. (2021). Indexing starvation mortality to assess its role in the population regulation of northern cod. </w:t>
      </w:r>
      <w:r>
        <w:rPr>
          <w:i/>
          <w:iCs/>
        </w:rPr>
        <w:t>Fisheries Research</w:t>
      </w:r>
      <w:r>
        <w:t xml:space="preserve">, </w:t>
      </w:r>
      <w:r>
        <w:rPr>
          <w:i/>
          <w:iCs/>
        </w:rPr>
        <w:t>247</w:t>
      </w:r>
      <w:r>
        <w:t>, 106180. https://doi.org/</w:t>
      </w:r>
      <w:hyperlink r:id="rId15">
        <w:r>
          <w:rPr>
            <w:rStyle w:val="Hyperlink"/>
          </w:rPr>
          <w:t>https://doi.org/10.1016/j.fishres.2021.106180</w:t>
        </w:r>
      </w:hyperlink>
    </w:p>
    <w:p w14:paraId="2D7F8184" w14:textId="77777777" w:rsidR="005D0851" w:rsidRDefault="00BF548D">
      <w:pPr>
        <w:pStyle w:val="Bibliography"/>
      </w:pPr>
      <w:bookmarkStart w:id="89" w:name="ref-rose2004"/>
      <w:bookmarkEnd w:id="88"/>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0F987F2C" w14:textId="77777777" w:rsidR="005D0851" w:rsidRDefault="00BF548D">
      <w:pPr>
        <w:pStyle w:val="Bibliography"/>
      </w:pPr>
      <w:bookmarkStart w:id="90" w:name="ref-schaefer1954"/>
      <w:bookmarkEnd w:id="89"/>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685362C5" w14:textId="77777777" w:rsidR="005D0851" w:rsidRDefault="00BF548D">
      <w:pPr>
        <w:pStyle w:val="Bibliography"/>
      </w:pPr>
      <w:bookmarkStart w:id="91" w:name="ref-scheffer2015"/>
      <w:bookmarkEnd w:id="90"/>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62010AB6" w14:textId="77777777" w:rsidR="005D0851" w:rsidRDefault="00BF548D">
      <w:pPr>
        <w:pStyle w:val="Bibliography"/>
      </w:pPr>
      <w:bookmarkStart w:id="92" w:name="ref-scheffer2003"/>
      <w:bookmarkEnd w:id="91"/>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5D04DE94" w14:textId="77777777" w:rsidR="005D0851" w:rsidRDefault="00BF548D">
      <w:pPr>
        <w:pStyle w:val="Bibliography"/>
      </w:pPr>
      <w:bookmarkStart w:id="93" w:name="ref-schijns2021"/>
      <w:bookmarkEnd w:id="92"/>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1EDBB447" w14:textId="77777777" w:rsidR="005D0851" w:rsidRDefault="00BF548D">
      <w:pPr>
        <w:pStyle w:val="Bibliography"/>
      </w:pPr>
      <w:bookmarkStart w:id="94" w:name="ref-schindler2010"/>
      <w:bookmarkEnd w:id="93"/>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6D9FB978" w14:textId="77777777" w:rsidR="005D0851" w:rsidRDefault="00BF548D">
      <w:pPr>
        <w:pStyle w:val="Bibliography"/>
      </w:pPr>
      <w:bookmarkStart w:id="95" w:name="ref-smith1981"/>
      <w:bookmarkEnd w:id="94"/>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239B1AD8" w14:textId="77777777" w:rsidR="005D0851" w:rsidRDefault="00BF548D">
      <w:pPr>
        <w:pStyle w:val="Bibliography"/>
      </w:pPr>
      <w:bookmarkStart w:id="96" w:name="ref-thorson2020"/>
      <w:bookmarkEnd w:id="95"/>
      <w:r>
        <w:lastRenderedPageBreak/>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106199D4" w14:textId="77777777" w:rsidR="005D0851" w:rsidRDefault="00BF548D">
      <w:pPr>
        <w:pStyle w:val="Bibliography"/>
      </w:pPr>
      <w:bookmarkStart w:id="97" w:name="ref-volterra1926"/>
      <w:bookmarkEnd w:id="96"/>
      <w:r>
        <w:t xml:space="preserve">Volterra, V. (1926). Fluctuations in the abundance of a species considered mathematically. </w:t>
      </w:r>
      <w:r>
        <w:rPr>
          <w:i/>
          <w:iCs/>
        </w:rPr>
        <w:t>Nature</w:t>
      </w:r>
      <w:r>
        <w:t xml:space="preserve">, </w:t>
      </w:r>
      <w:r>
        <w:rPr>
          <w:i/>
          <w:iCs/>
        </w:rPr>
        <w:t>118</w:t>
      </w:r>
      <w:r>
        <w:t>(2972), 558–560.</w:t>
      </w:r>
    </w:p>
    <w:p w14:paraId="0B5706D4" w14:textId="77777777" w:rsidR="005D0851" w:rsidRDefault="00BF548D">
      <w:pPr>
        <w:pStyle w:val="Bibliography"/>
      </w:pPr>
      <w:bookmarkStart w:id="98" w:name="ref-walsh1992"/>
      <w:bookmarkEnd w:id="97"/>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24AD97F5" w14:textId="77777777" w:rsidR="005D0851" w:rsidRDefault="00BF548D">
      <w:pPr>
        <w:pStyle w:val="Bibliography"/>
      </w:pPr>
      <w:bookmarkStart w:id="99" w:name="ref-winker2018"/>
      <w:bookmarkEnd w:id="98"/>
      <w:r>
        <w:t xml:space="preserve">Winker, H., Carvalho, F., &amp; Kapur, M. (2018). JABBA: Just another bayesian biomass assessment. </w:t>
      </w:r>
      <w:r>
        <w:rPr>
          <w:i/>
          <w:iCs/>
        </w:rPr>
        <w:t>Fisheries Research</w:t>
      </w:r>
      <w:r>
        <w:t xml:space="preserve">, </w:t>
      </w:r>
      <w:r>
        <w:rPr>
          <w:i/>
          <w:iCs/>
        </w:rPr>
        <w:t>204</w:t>
      </w:r>
      <w:r>
        <w:t>, 275–288.</w:t>
      </w:r>
    </w:p>
    <w:bookmarkEnd w:id="51"/>
    <w:bookmarkEnd w:id="99"/>
    <w:p w14:paraId="32AB5A89" w14:textId="77777777" w:rsidR="005D0851" w:rsidRDefault="00BF548D">
      <w:r>
        <w:br w:type="page"/>
      </w:r>
    </w:p>
    <w:p w14:paraId="72BD0D03" w14:textId="77777777" w:rsidR="005D0851" w:rsidRDefault="00BF548D">
      <w:pPr>
        <w:pStyle w:val="Heading1"/>
      </w:pPr>
      <w:bookmarkStart w:id="100" w:name="figures"/>
      <w:bookmarkEnd w:id="49"/>
      <w:r>
        <w:lastRenderedPageBreak/>
        <w:t>Figures</w:t>
      </w:r>
    </w:p>
    <w:p w14:paraId="59A924B9" w14:textId="77777777" w:rsidR="005D0851" w:rsidRDefault="00BF548D">
      <w:pPr>
        <w:pStyle w:val="CaptionedFigure"/>
      </w:pPr>
      <w:r>
        <w:rPr>
          <w:noProof/>
        </w:rPr>
        <w:drawing>
          <wp:inline distT="0" distB="0" distL="0" distR="0" wp14:anchorId="720F21ED" wp14:editId="49957829">
            <wp:extent cx="3599999" cy="4092857"/>
            <wp:effectExtent l="0" t="0" r="0" b="0"/>
            <wp:docPr id="94"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95" name="Picture" descr="C:/Users/RegularP/Documents/PROJECTS/multispic/analysis/paper/figures/epu_map.png"/>
                    <pic:cNvPicPr>
                      <a:picLocks noChangeAspect="1" noChangeArrowheads="1"/>
                    </pic:cNvPicPr>
                  </pic:nvPicPr>
                  <pic:blipFill>
                    <a:blip r:embed="rId16"/>
                    <a:stretch>
                      <a:fillRect/>
                    </a:stretch>
                  </pic:blipFill>
                  <pic:spPr bwMode="auto">
                    <a:xfrm>
                      <a:off x="0" y="0"/>
                      <a:ext cx="3599999" cy="4092857"/>
                    </a:xfrm>
                    <a:prstGeom prst="rect">
                      <a:avLst/>
                    </a:prstGeom>
                    <a:noFill/>
                    <a:ln w="9525">
                      <a:noFill/>
                      <a:headEnd/>
                      <a:tailEnd/>
                    </a:ln>
                  </pic:spPr>
                </pic:pic>
              </a:graphicData>
            </a:graphic>
          </wp:inline>
        </w:drawing>
      </w:r>
    </w:p>
    <w:p w14:paraId="48F2B821" w14:textId="77777777" w:rsidR="005D0851" w:rsidRDefault="00BF548D">
      <w:pPr>
        <w:pStyle w:val="ImageCaption"/>
      </w:pPr>
      <w:r>
        <w:t>Fig 1: Map of Newfoundland and Labrador (NL) case study area showing the Northeast NL Shelf (purple), Grand Bank (green), and Southern NL (yellow) ecosystem production units.</w:t>
      </w:r>
    </w:p>
    <w:p w14:paraId="228EAB8C" w14:textId="77777777" w:rsidR="005D0851" w:rsidRDefault="00BF548D">
      <w:pPr>
        <w:pStyle w:val="CaptionedFigure"/>
      </w:pPr>
      <w:r>
        <w:rPr>
          <w:noProof/>
        </w:rPr>
        <w:lastRenderedPageBreak/>
        <w:drawing>
          <wp:inline distT="0" distB="0" distL="0" distR="0" wp14:anchorId="062F8880" wp14:editId="6894548A">
            <wp:extent cx="5943600" cy="2773680"/>
            <wp:effectExtent l="0" t="0" r="0" b="0"/>
            <wp:docPr id="9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98" name="Picture" descr="C:/Users/RegularP/Documents/PROJECTS/multispic/analysis/paper/figures/score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5657E05E" w14:textId="77777777" w:rsidR="005D0851" w:rsidRDefault="00BF548D">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04474D12" w14:textId="77777777" w:rsidR="005D0851" w:rsidRDefault="00BF548D">
      <w:pPr>
        <w:pStyle w:val="CaptionedFigure"/>
      </w:pPr>
      <w:r>
        <w:rPr>
          <w:noProof/>
        </w:rPr>
        <w:lastRenderedPageBreak/>
        <w:drawing>
          <wp:inline distT="0" distB="0" distL="0" distR="0" wp14:anchorId="1D7C1B42" wp14:editId="3D2E86BF">
            <wp:extent cx="5943600" cy="4160520"/>
            <wp:effectExtent l="0" t="0" r="0" b="0"/>
            <wp:docPr id="100"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01" name="Picture" descr="C:/Users/RegularP/Documents/PROJECTS/multispic/analysis/paper/figures/survey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3E6453A0" w14:textId="77777777" w:rsidR="005D0851" w:rsidRDefault="00BF548D">
      <w:pPr>
        <w:pStyle w:val="ImageCaption"/>
      </w:pPr>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9E901C9" w14:textId="77777777" w:rsidR="005D0851" w:rsidRDefault="00BF548D">
      <w:pPr>
        <w:pStyle w:val="CaptionedFigure"/>
      </w:pPr>
      <w:commentRangeStart w:id="101"/>
      <w:r>
        <w:rPr>
          <w:noProof/>
        </w:rPr>
        <w:lastRenderedPageBreak/>
        <w:drawing>
          <wp:inline distT="0" distB="0" distL="0" distR="0" wp14:anchorId="4406CD9C" wp14:editId="540ABF20">
            <wp:extent cx="5943600" cy="4160520"/>
            <wp:effectExtent l="0" t="0" r="0" b="0"/>
            <wp:docPr id="10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pop_trend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4160520"/>
                    </a:xfrm>
                    <a:prstGeom prst="rect">
                      <a:avLst/>
                    </a:prstGeom>
                    <a:noFill/>
                    <a:ln w="9525">
                      <a:noFill/>
                      <a:headEnd/>
                      <a:tailEnd/>
                    </a:ln>
                  </pic:spPr>
                </pic:pic>
              </a:graphicData>
            </a:graphic>
          </wp:inline>
        </w:drawing>
      </w:r>
      <w:commentRangeEnd w:id="101"/>
      <w:r w:rsidR="002E60C2">
        <w:rPr>
          <w:rStyle w:val="CommentReference"/>
        </w:rPr>
        <w:commentReference w:id="101"/>
      </w:r>
    </w:p>
    <w:p w14:paraId="6AF63BA2" w14:textId="77777777" w:rsidR="005D0851" w:rsidRDefault="00BF548D">
      <w:pPr>
        <w:pStyle w:val="ImageCaption"/>
      </w:pPr>
      <w:commentRangeStart w:id="102"/>
      <w:r>
        <w:t xml:space="preserve">Fig 4: Trends in biomass, expected </w:t>
      </w:r>
      <w:commentRangeEnd w:id="102"/>
      <w:r w:rsidR="002E60C2">
        <w:rPr>
          <w:rStyle w:val="CommentReference"/>
        </w:rPr>
        <w:commentReference w:id="102"/>
      </w:r>
      <w:r>
        <w:t>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035A97DD" w14:textId="77777777" w:rsidR="005D0851" w:rsidRDefault="00BF548D">
      <w:pPr>
        <w:pStyle w:val="CaptionedFigure"/>
      </w:pPr>
      <w:r>
        <w:rPr>
          <w:noProof/>
        </w:rPr>
        <w:lastRenderedPageBreak/>
        <w:drawing>
          <wp:inline distT="0" distB="0" distL="0" distR="0" wp14:anchorId="3736E342" wp14:editId="4FB93783">
            <wp:extent cx="5943600" cy="3200400"/>
            <wp:effectExtent l="0" t="0" r="0" b="0"/>
            <wp:docPr id="106"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07" name="Picture" descr="C:/Users/RegularP/Documents/PROJECTS/multispic/analysis/paper/figures/pe_cor.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45809CE0" w14:textId="77777777" w:rsidR="005D0851" w:rsidRDefault="00BF548D">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100"/>
    </w:p>
    <w:sectPr w:rsidR="005D0851" w:rsidSect="00BF548D">
      <w:footerReference w:type="default" r:id="rId2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anne Morgan" w:date="2023-08-28T10:29:00Z" w:initials="JM">
    <w:p w14:paraId="3B530637" w14:textId="77777777" w:rsidR="00BF548D" w:rsidRDefault="00BF548D">
      <w:pPr>
        <w:pStyle w:val="CommentText"/>
      </w:pPr>
      <w:r>
        <w:rPr>
          <w:rStyle w:val="CommentReference"/>
        </w:rPr>
        <w:annotationRef/>
      </w:r>
      <w:r>
        <w:t>If we are all at DFO then you don’t need the 1 superscript.</w:t>
      </w:r>
    </w:p>
    <w:p w14:paraId="7B2252C7" w14:textId="77777777" w:rsidR="00BF548D" w:rsidRDefault="00BF548D">
      <w:pPr>
        <w:pStyle w:val="CommentText"/>
      </w:pPr>
    </w:p>
    <w:p w14:paraId="6ECEA496" w14:textId="77777777" w:rsidR="00BF548D" w:rsidRDefault="00BF548D">
      <w:pPr>
        <w:pStyle w:val="CommentText"/>
      </w:pPr>
      <w:r>
        <w:t>I am not sure what to put for me – could put ICES? Or maybe just leave it…..</w:t>
      </w:r>
    </w:p>
  </w:comment>
  <w:comment w:id="8" w:author="Joanne Morgan" w:date="2023-08-28T10:36:00Z" w:initials="JM">
    <w:p w14:paraId="088CF7EC" w14:textId="77777777" w:rsidR="00BF548D" w:rsidRDefault="00BF548D">
      <w:pPr>
        <w:pStyle w:val="CommentText"/>
      </w:pPr>
      <w:r>
        <w:rPr>
          <w:rStyle w:val="CommentReference"/>
        </w:rPr>
        <w:annotationRef/>
      </w:r>
      <w:r>
        <w:t>I think that this is now very well described</w:t>
      </w:r>
    </w:p>
  </w:comment>
  <w:comment w:id="9" w:author="Joanne Morgan" w:date="2023-08-28T10:36:00Z" w:initials="JM">
    <w:p w14:paraId="230FBBBA" w14:textId="77777777" w:rsidR="00BF548D" w:rsidRDefault="00BF548D">
      <w:pPr>
        <w:pStyle w:val="CommentText"/>
      </w:pPr>
      <w:r>
        <w:rPr>
          <w:rStyle w:val="CommentReference"/>
        </w:rPr>
        <w:annotationRef/>
      </w:r>
    </w:p>
  </w:comment>
  <w:comment w:id="10" w:author="Joanne Morgan" w:date="2023-08-28T10:33:00Z" w:initials="JM">
    <w:p w14:paraId="2DA1A1BE" w14:textId="77777777" w:rsidR="00BF548D" w:rsidRDefault="00BF548D">
      <w:pPr>
        <w:pStyle w:val="CommentText"/>
      </w:pPr>
      <w:r>
        <w:rPr>
          <w:rStyle w:val="CommentReference"/>
        </w:rPr>
        <w:annotationRef/>
      </w:r>
      <w:r>
        <w:t>And ecosystem processes?</w:t>
      </w:r>
    </w:p>
  </w:comment>
  <w:comment w:id="14" w:author="Joanne Morgan" w:date="2023-08-28T10:39:00Z" w:initials="JM">
    <w:p w14:paraId="2CC6C154" w14:textId="77777777" w:rsidR="00BF548D" w:rsidRDefault="00BF548D">
      <w:pPr>
        <w:pStyle w:val="CommentText"/>
      </w:pPr>
      <w:r>
        <w:rPr>
          <w:rStyle w:val="CommentReference"/>
        </w:rPr>
        <w:annotationRef/>
      </w:r>
      <w:r>
        <w:t>Or should it be for each species incorporated in the model</w:t>
      </w:r>
    </w:p>
  </w:comment>
  <w:comment w:id="15" w:author="Joanne Morgan" w:date="2023-08-28T10:40:00Z" w:initials="JM">
    <w:p w14:paraId="5FF37C0B" w14:textId="77777777" w:rsidR="00BF548D" w:rsidRDefault="00BF548D">
      <w:pPr>
        <w:pStyle w:val="CommentText"/>
      </w:pPr>
      <w:r>
        <w:rPr>
          <w:rStyle w:val="CommentReference"/>
        </w:rPr>
        <w:annotationRef/>
      </w:r>
      <w:r>
        <w:t>So used STATLANT not scientific estimates?</w:t>
      </w:r>
    </w:p>
  </w:comment>
  <w:comment w:id="19" w:author="Joanne Morgan" w:date="2023-08-28T10:53:00Z" w:initials="JM">
    <w:p w14:paraId="1AEAAB9B" w14:textId="77777777" w:rsidR="00091903" w:rsidRDefault="00091903">
      <w:pPr>
        <w:pStyle w:val="CommentText"/>
      </w:pPr>
      <w:r>
        <w:rPr>
          <w:rStyle w:val="CommentReference"/>
        </w:rPr>
        <w:annotationRef/>
      </w:r>
      <w:r>
        <w:t>I don’t understand what you are saying here  Do you mean that the lowest catches are likely to have been sustainable?</w:t>
      </w:r>
    </w:p>
  </w:comment>
  <w:comment w:id="23" w:author="Joanne Morgan" w:date="2023-08-28T10:56:00Z" w:initials="JM">
    <w:p w14:paraId="37C62B95" w14:textId="77777777" w:rsidR="00091903" w:rsidRDefault="00091903">
      <w:pPr>
        <w:pStyle w:val="CommentText"/>
      </w:pPr>
      <w:r>
        <w:rPr>
          <w:rStyle w:val="CommentReference"/>
        </w:rPr>
        <w:annotationRef/>
      </w:r>
      <w:r>
        <w:t>Why? And why these numbers?</w:t>
      </w:r>
    </w:p>
  </w:comment>
  <w:comment w:id="24" w:author="Joanne Morgan" w:date="2023-08-28T10:56:00Z" w:initials="JM">
    <w:p w14:paraId="4882B78A" w14:textId="77777777" w:rsidR="00091903" w:rsidRDefault="00091903">
      <w:pPr>
        <w:pStyle w:val="CommentText"/>
      </w:pPr>
      <w:r>
        <w:rPr>
          <w:rStyle w:val="CommentReference"/>
        </w:rPr>
        <w:annotationRef/>
      </w:r>
      <w:r>
        <w:t>In fact the q is estimated to be greater than one for a number of these populations</w:t>
      </w:r>
      <w:r w:rsidR="0090042E">
        <w:t xml:space="preserve"> so maybe this should be ‘The upper inflections point was set to 1 as it is possible that the survey indices represent overestimates of the true population size in some instances’</w:t>
      </w:r>
    </w:p>
  </w:comment>
  <w:comment w:id="25" w:author="Joanne Morgan" w:date="2023-08-28T10:59:00Z" w:initials="JM">
    <w:p w14:paraId="59C7FCC0" w14:textId="77777777" w:rsidR="0090042E" w:rsidRDefault="0090042E">
      <w:pPr>
        <w:pStyle w:val="CommentText"/>
      </w:pPr>
      <w:r>
        <w:rPr>
          <w:rStyle w:val="CommentReference"/>
        </w:rPr>
        <w:annotationRef/>
      </w:r>
      <w:r>
        <w:t>Are the CVs OK?  I know the CI are not… if not may want to say something about it here</w:t>
      </w:r>
    </w:p>
  </w:comment>
  <w:comment w:id="28" w:author="Joanne Morgan" w:date="2023-08-28T11:01:00Z" w:initials="JM">
    <w:p w14:paraId="683846DC" w14:textId="77777777" w:rsidR="0090042E" w:rsidRDefault="0090042E">
      <w:pPr>
        <w:pStyle w:val="CommentText"/>
      </w:pPr>
      <w:r>
        <w:rPr>
          <w:rStyle w:val="CommentReference"/>
        </w:rPr>
        <w:annotationRef/>
      </w:r>
      <w:r>
        <w:t>Subtracted from what???? This sentence seems to be missing something or perhaps shouldn’t be here…if you are just meaning that it is part of the equation then is described above and can be removed…otherwise it needs more explanation in the context of this paragraph</w:t>
      </w:r>
    </w:p>
  </w:comment>
  <w:comment w:id="29" w:author="Joanne Morgan" w:date="2023-08-28T11:05:00Z" w:initials="JM">
    <w:p w14:paraId="52036274" w14:textId="77777777" w:rsidR="0090042E" w:rsidRDefault="0090042E">
      <w:pPr>
        <w:pStyle w:val="CommentText"/>
      </w:pPr>
      <w:r>
        <w:rPr>
          <w:rStyle w:val="CommentReference"/>
        </w:rPr>
        <w:annotationRef/>
      </w:r>
      <w:r>
        <w:t>? what are model folds</w:t>
      </w:r>
    </w:p>
  </w:comment>
  <w:comment w:id="31" w:author="Joanne Morgan" w:date="2023-08-28T11:07:00Z" w:initials="JM">
    <w:p w14:paraId="66E4D1A2" w14:textId="77777777" w:rsidR="0090042E" w:rsidRDefault="0090042E">
      <w:pPr>
        <w:pStyle w:val="CommentText"/>
      </w:pPr>
      <w:r>
        <w:rPr>
          <w:rStyle w:val="CommentReference"/>
        </w:rPr>
        <w:annotationRef/>
      </w:r>
      <w:r>
        <w:t>You haven’t talked about doing anything single species up to this point.</w:t>
      </w:r>
    </w:p>
    <w:p w14:paraId="734B175B" w14:textId="77777777" w:rsidR="002E60C2" w:rsidRDefault="002E60C2">
      <w:pPr>
        <w:pStyle w:val="CommentText"/>
      </w:pPr>
    </w:p>
    <w:p w14:paraId="22CBE04B" w14:textId="77777777" w:rsidR="002E60C2" w:rsidRDefault="002E60C2">
      <w:pPr>
        <w:pStyle w:val="CommentText"/>
      </w:pPr>
      <w:r>
        <w:t>And how did you produce a single point in figure 2 if there are 7 species?</w:t>
      </w:r>
    </w:p>
  </w:comment>
  <w:comment w:id="33" w:author="Joanne Morgan" w:date="2023-08-28T11:19:00Z" w:initials="JM">
    <w:p w14:paraId="026855D2" w14:textId="77777777" w:rsidR="00597DD4" w:rsidRDefault="00597DD4">
      <w:pPr>
        <w:pStyle w:val="CommentText"/>
      </w:pPr>
      <w:r>
        <w:rPr>
          <w:rStyle w:val="CommentReference"/>
        </w:rPr>
        <w:annotationRef/>
      </w:r>
      <w:r>
        <w:t>I think it is fine here</w:t>
      </w:r>
    </w:p>
  </w:comment>
  <w:comment w:id="37" w:author="Joanne Morgan" w:date="2023-08-28T11:21:00Z" w:initials="JM">
    <w:p w14:paraId="77B11215" w14:textId="77777777" w:rsidR="00597DD4" w:rsidRDefault="00597DD4">
      <w:pPr>
        <w:pStyle w:val="CommentText"/>
      </w:pPr>
      <w:r>
        <w:rPr>
          <w:rStyle w:val="CommentReference"/>
        </w:rPr>
        <w:annotationRef/>
      </w:r>
      <w:r>
        <w:t>All caps</w:t>
      </w:r>
    </w:p>
  </w:comment>
  <w:comment w:id="38" w:author="Joanne Morgan" w:date="2023-08-28T11:21:00Z" w:initials="JM">
    <w:p w14:paraId="5F0FA3B2" w14:textId="77777777" w:rsidR="00597DD4" w:rsidRDefault="00597DD4">
      <w:pPr>
        <w:pStyle w:val="CommentText"/>
      </w:pPr>
      <w:r>
        <w:rPr>
          <w:rStyle w:val="CommentReference"/>
        </w:rPr>
        <w:annotationRef/>
      </w:r>
      <w:r>
        <w:t xml:space="preserve">Should the </w:t>
      </w:r>
      <w:proofErr w:type="spellStart"/>
      <w:r>
        <w:t>eg</w:t>
      </w:r>
      <w:proofErr w:type="spellEnd"/>
      <w:r>
        <w:t xml:space="preserve"> be before </w:t>
      </w:r>
      <w:proofErr w:type="spellStart"/>
      <w:r>
        <w:t>gomes</w:t>
      </w:r>
      <w:proofErr w:type="spellEnd"/>
      <w:r>
        <w:t>?</w:t>
      </w:r>
    </w:p>
  </w:comment>
  <w:comment w:id="39" w:author="Joanne Morgan" w:date="2023-08-28T11:22:00Z" w:initials="JM">
    <w:p w14:paraId="7607BC00" w14:textId="77777777" w:rsidR="00597DD4" w:rsidRDefault="00597DD4">
      <w:pPr>
        <w:pStyle w:val="CommentText"/>
      </w:pPr>
      <w:r>
        <w:rPr>
          <w:rStyle w:val="CommentReference"/>
        </w:rPr>
        <w:annotationRef/>
      </w:r>
      <w:r>
        <w:t>Do you mean here that the industry unlikely had the capacity to exceed the annual residual losses estimated by the model?</w:t>
      </w:r>
    </w:p>
  </w:comment>
  <w:comment w:id="41" w:author="Joanne Morgan" w:date="2023-08-28T11:25:00Z" w:initials="JM">
    <w:p w14:paraId="21C45220" w14:textId="77777777" w:rsidR="00597DD4" w:rsidRDefault="00597DD4">
      <w:pPr>
        <w:pStyle w:val="CommentText"/>
      </w:pPr>
      <w:r>
        <w:rPr>
          <w:rStyle w:val="CommentReference"/>
        </w:rPr>
        <w:annotationRef/>
      </w:r>
      <w:r>
        <w:t>Why bold?</w:t>
      </w:r>
    </w:p>
  </w:comment>
  <w:comment w:id="42" w:author="Joanne Morgan" w:date="2023-08-28T11:27:00Z" w:initials="JM">
    <w:p w14:paraId="038F4E80" w14:textId="77777777" w:rsidR="00597DD4" w:rsidRDefault="00597DD4">
      <w:pPr>
        <w:pStyle w:val="CommentText"/>
      </w:pPr>
      <w:r>
        <w:rPr>
          <w:rStyle w:val="CommentReference"/>
        </w:rPr>
        <w:annotationRef/>
      </w:r>
      <w:r>
        <w:t>Hmm  - what were catches of northern cod in the 70’s</w:t>
      </w:r>
    </w:p>
    <w:p w14:paraId="2BC332CF" w14:textId="77777777" w:rsidR="00597DD4" w:rsidRDefault="00597DD4">
      <w:pPr>
        <w:pStyle w:val="CommentText"/>
      </w:pPr>
    </w:p>
    <w:p w14:paraId="7A80EC6A" w14:textId="77777777" w:rsidR="00597DD4" w:rsidRDefault="00597DD4">
      <w:pPr>
        <w:pStyle w:val="CommentText"/>
      </w:pPr>
      <w:r>
        <w:t>And have you considered, in this conclusion that 2J3KL cod results are included in two of the ecoregions</w:t>
      </w:r>
      <w:r w:rsidR="00F91D63">
        <w:t xml:space="preserve"> and how this might affect this conclusion.</w:t>
      </w:r>
    </w:p>
    <w:p w14:paraId="3EFA87B5" w14:textId="77777777" w:rsidR="00F91D63" w:rsidRDefault="00F91D63">
      <w:pPr>
        <w:pStyle w:val="CommentText"/>
      </w:pPr>
    </w:p>
    <w:p w14:paraId="2C35057E" w14:textId="77777777" w:rsidR="00F91D63" w:rsidRDefault="00F91D63">
      <w:pPr>
        <w:pStyle w:val="CommentText"/>
      </w:pPr>
    </w:p>
    <w:p w14:paraId="09208B58" w14:textId="77777777" w:rsidR="00F91D63" w:rsidRDefault="00F91D63">
      <w:pPr>
        <w:pStyle w:val="CommentText"/>
      </w:pPr>
      <w:r>
        <w:t xml:space="preserve">This in general might be something that needs to be discussed or at least mentioned (maybe in the methods if </w:t>
      </w:r>
      <w:proofErr w:type="spellStart"/>
      <w:r>
        <w:t>no where</w:t>
      </w:r>
      <w:proofErr w:type="spellEnd"/>
      <w:r>
        <w:t xml:space="preserve"> else??)  r is a population level metric.  But some of the populations are split and/or combined with other populations.  Does this impact the findings?</w:t>
      </w:r>
    </w:p>
  </w:comment>
  <w:comment w:id="47" w:author="Joanne Morgan" w:date="2023-08-28T11:31:00Z" w:initials="JM">
    <w:p w14:paraId="408E56E8" w14:textId="77777777" w:rsidR="00F91D63" w:rsidRDefault="00F91D63">
      <w:pPr>
        <w:pStyle w:val="CommentText"/>
      </w:pPr>
      <w:r>
        <w:rPr>
          <w:rStyle w:val="CommentReference"/>
        </w:rPr>
        <w:annotationRef/>
      </w:r>
      <w:r>
        <w:t>Can it be used to provide advice at the stock level?</w:t>
      </w:r>
    </w:p>
  </w:comment>
  <w:comment w:id="101" w:author="Joanne Morgan" w:date="2023-08-28T11:16:00Z" w:initials="JM">
    <w:p w14:paraId="2FA8D501" w14:textId="77777777" w:rsidR="002E60C2" w:rsidRDefault="002E60C2">
      <w:pPr>
        <w:pStyle w:val="CommentText"/>
      </w:pPr>
      <w:r>
        <w:rPr>
          <w:rStyle w:val="CommentReference"/>
        </w:rPr>
        <w:annotationRef/>
      </w:r>
      <w:r>
        <w:t xml:space="preserve">Is it possible to make the </w:t>
      </w:r>
      <w:proofErr w:type="spellStart"/>
      <w:r>
        <w:t>colours</w:t>
      </w:r>
      <w:proofErr w:type="spellEnd"/>
      <w:r>
        <w:t xml:space="preserve"> for the species in fig 4 and 5 a bit more distinctive?  Particularly in fig 5 it is sometimes hard to see which is which</w:t>
      </w:r>
    </w:p>
  </w:comment>
  <w:comment w:id="102" w:author="Joanne Morgan" w:date="2023-08-28T11:13:00Z" w:initials="JM">
    <w:p w14:paraId="7B004F37" w14:textId="77777777" w:rsidR="002E60C2" w:rsidRDefault="002E60C2">
      <w:pPr>
        <w:pStyle w:val="CommentText"/>
      </w:pPr>
      <w:r>
        <w:rPr>
          <w:rStyle w:val="CommentReference"/>
        </w:rPr>
        <w:annotationRef/>
      </w:r>
      <w:r>
        <w:t>For K in the legend should probably say carrying capacity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CEA496" w15:done="0"/>
  <w15:commentEx w15:paraId="088CF7EC" w15:done="0"/>
  <w15:commentEx w15:paraId="230FBBBA" w15:paraIdParent="088CF7EC" w15:done="0"/>
  <w15:commentEx w15:paraId="2DA1A1BE" w15:done="0"/>
  <w15:commentEx w15:paraId="2CC6C154" w15:done="0"/>
  <w15:commentEx w15:paraId="5FF37C0B" w15:done="0"/>
  <w15:commentEx w15:paraId="1AEAAB9B" w15:done="0"/>
  <w15:commentEx w15:paraId="37C62B95" w15:done="0"/>
  <w15:commentEx w15:paraId="4882B78A" w15:done="0"/>
  <w15:commentEx w15:paraId="59C7FCC0" w15:done="0"/>
  <w15:commentEx w15:paraId="683846DC" w15:done="0"/>
  <w15:commentEx w15:paraId="52036274" w15:done="0"/>
  <w15:commentEx w15:paraId="22CBE04B" w15:done="0"/>
  <w15:commentEx w15:paraId="026855D2" w15:done="0"/>
  <w15:commentEx w15:paraId="77B11215" w15:done="0"/>
  <w15:commentEx w15:paraId="5F0FA3B2" w15:done="0"/>
  <w15:commentEx w15:paraId="7607BC00" w15:done="0"/>
  <w15:commentEx w15:paraId="21C45220" w15:done="0"/>
  <w15:commentEx w15:paraId="09208B58" w15:done="0"/>
  <w15:commentEx w15:paraId="408E56E8" w15:done="0"/>
  <w15:commentEx w15:paraId="2FA8D501" w15:done="0"/>
  <w15:commentEx w15:paraId="7B004F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CEA496" w16cid:durableId="2896F59F"/>
  <w16cid:commentId w16cid:paraId="088CF7EC" w16cid:durableId="2896F73B"/>
  <w16cid:commentId w16cid:paraId="230FBBBA" w16cid:durableId="2896F746"/>
  <w16cid:commentId w16cid:paraId="2DA1A1BE" w16cid:durableId="2896F65F"/>
  <w16cid:commentId w16cid:paraId="2CC6C154" w16cid:durableId="2896F7E8"/>
  <w16cid:commentId w16cid:paraId="5FF37C0B" w16cid:durableId="2896F829"/>
  <w16cid:commentId w16cid:paraId="1AEAAB9B" w16cid:durableId="2896FB31"/>
  <w16cid:commentId w16cid:paraId="37C62B95" w16cid:durableId="2896FBE2"/>
  <w16cid:commentId w16cid:paraId="4882B78A" w16cid:durableId="2896FBF7"/>
  <w16cid:commentId w16cid:paraId="59C7FCC0" w16cid:durableId="2896FC97"/>
  <w16cid:commentId w16cid:paraId="683846DC" w16cid:durableId="2896FD12"/>
  <w16cid:commentId w16cid:paraId="52036274" w16cid:durableId="2896FE08"/>
  <w16cid:commentId w16cid:paraId="22CBE04B" w16cid:durableId="2896FE55"/>
  <w16cid:commentId w16cid:paraId="026855D2" w16cid:durableId="2897013B"/>
  <w16cid:commentId w16cid:paraId="77B11215" w16cid:durableId="289701BB"/>
  <w16cid:commentId w16cid:paraId="5F0FA3B2" w16cid:durableId="289701CD"/>
  <w16cid:commentId w16cid:paraId="7607BC00" w16cid:durableId="2897020F"/>
  <w16cid:commentId w16cid:paraId="21C45220" w16cid:durableId="289702A4"/>
  <w16cid:commentId w16cid:paraId="09208B58" w16cid:durableId="28970314"/>
  <w16cid:commentId w16cid:paraId="408E56E8" w16cid:durableId="289703F5"/>
  <w16cid:commentId w16cid:paraId="2FA8D501" w16cid:durableId="2897007D"/>
  <w16cid:commentId w16cid:paraId="7B004F37" w16cid:durableId="2896F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C1561" w14:textId="77777777" w:rsidR="000B1936" w:rsidRDefault="000B1936">
      <w:pPr>
        <w:spacing w:after="0" w:line="240" w:lineRule="auto"/>
      </w:pPr>
      <w:r>
        <w:separator/>
      </w:r>
    </w:p>
  </w:endnote>
  <w:endnote w:type="continuationSeparator" w:id="0">
    <w:p w14:paraId="4D21A333" w14:textId="77777777" w:rsidR="000B1936" w:rsidRDefault="000B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51D949C4" w14:textId="77777777" w:rsidR="00BF548D" w:rsidRDefault="00BF54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EFB31B" w14:textId="77777777" w:rsidR="00BF548D" w:rsidRDefault="00BF5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B4408" w14:textId="77777777" w:rsidR="000B1936" w:rsidRDefault="000B1936">
      <w:r>
        <w:separator/>
      </w:r>
    </w:p>
  </w:footnote>
  <w:footnote w:type="continuationSeparator" w:id="0">
    <w:p w14:paraId="1187C97D" w14:textId="77777777" w:rsidR="000B1936" w:rsidRDefault="000B1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36EC7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26844259">
    <w:abstractNumId w:val="11"/>
  </w:num>
  <w:num w:numId="2" w16cid:durableId="566381492">
    <w:abstractNumId w:val="11"/>
  </w:num>
  <w:num w:numId="3" w16cid:durableId="210386171">
    <w:abstractNumId w:val="9"/>
  </w:num>
  <w:num w:numId="4" w16cid:durableId="354187205">
    <w:abstractNumId w:val="7"/>
  </w:num>
  <w:num w:numId="5" w16cid:durableId="1515143006">
    <w:abstractNumId w:val="6"/>
  </w:num>
  <w:num w:numId="6" w16cid:durableId="881526027">
    <w:abstractNumId w:val="5"/>
  </w:num>
  <w:num w:numId="7" w16cid:durableId="617834633">
    <w:abstractNumId w:val="4"/>
  </w:num>
  <w:num w:numId="8" w16cid:durableId="1040398887">
    <w:abstractNumId w:val="8"/>
  </w:num>
  <w:num w:numId="9" w16cid:durableId="1326546660">
    <w:abstractNumId w:val="3"/>
  </w:num>
  <w:num w:numId="10" w16cid:durableId="547188812">
    <w:abstractNumId w:val="2"/>
  </w:num>
  <w:num w:numId="11" w16cid:durableId="1977955500">
    <w:abstractNumId w:val="1"/>
  </w:num>
  <w:num w:numId="12" w16cid:durableId="1056783577">
    <w:abstractNumId w:val="0"/>
  </w:num>
  <w:num w:numId="13" w16cid:durableId="142082776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e Morgan">
    <w15:presenceInfo w15:providerId="AD" w15:userId="S::joanne.morgan@ices.dk::1d145f08-700c-4a78-8d72-2b4285272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851"/>
    <w:rsid w:val="00091903"/>
    <w:rsid w:val="000B1936"/>
    <w:rsid w:val="00244645"/>
    <w:rsid w:val="002E60C2"/>
    <w:rsid w:val="00597DD4"/>
    <w:rsid w:val="005D0851"/>
    <w:rsid w:val="005F00C6"/>
    <w:rsid w:val="0090042E"/>
    <w:rsid w:val="00BF548D"/>
    <w:rsid w:val="00D06FD2"/>
    <w:rsid w:val="00F91D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EB74"/>
  <w15:docId w15:val="{C929390C-C528-3C48-B685-50CB0CF53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paragraph" w:styleId="BalloonText">
    <w:name w:val="Balloon Text"/>
    <w:basedOn w:val="Normal"/>
    <w:link w:val="BalloonTextChar"/>
    <w:semiHidden/>
    <w:unhideWhenUsed/>
    <w:rsid w:val="00D06FD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D06FD2"/>
    <w:rPr>
      <w:rFonts w:ascii="Times New Roman" w:hAnsi="Times New Roman" w:cs="Times New Roman"/>
      <w:sz w:val="18"/>
      <w:szCs w:val="18"/>
    </w:rPr>
  </w:style>
  <w:style w:type="character" w:styleId="CommentReference">
    <w:name w:val="annotation reference"/>
    <w:basedOn w:val="DefaultParagraphFont"/>
    <w:semiHidden/>
    <w:unhideWhenUsed/>
    <w:rsid w:val="00D06FD2"/>
    <w:rPr>
      <w:sz w:val="16"/>
      <w:szCs w:val="16"/>
    </w:rPr>
  </w:style>
  <w:style w:type="paragraph" w:styleId="CommentText">
    <w:name w:val="annotation text"/>
    <w:basedOn w:val="Normal"/>
    <w:link w:val="CommentTextChar"/>
    <w:semiHidden/>
    <w:unhideWhenUsed/>
    <w:rsid w:val="00D06FD2"/>
    <w:pPr>
      <w:spacing w:line="240" w:lineRule="auto"/>
    </w:pPr>
    <w:rPr>
      <w:sz w:val="20"/>
      <w:szCs w:val="20"/>
    </w:rPr>
  </w:style>
  <w:style w:type="character" w:customStyle="1" w:styleId="CommentTextChar">
    <w:name w:val="Comment Text Char"/>
    <w:basedOn w:val="DefaultParagraphFont"/>
    <w:link w:val="CommentText"/>
    <w:semiHidden/>
    <w:rsid w:val="00D06FD2"/>
    <w:rPr>
      <w:sz w:val="20"/>
      <w:szCs w:val="20"/>
    </w:rPr>
  </w:style>
  <w:style w:type="paragraph" w:styleId="CommentSubject">
    <w:name w:val="annotation subject"/>
    <w:basedOn w:val="CommentText"/>
    <w:next w:val="CommentText"/>
    <w:link w:val="CommentSubjectChar"/>
    <w:semiHidden/>
    <w:unhideWhenUsed/>
    <w:rsid w:val="00D06FD2"/>
    <w:rPr>
      <w:b/>
      <w:bCs/>
    </w:rPr>
  </w:style>
  <w:style w:type="character" w:customStyle="1" w:styleId="CommentSubjectChar">
    <w:name w:val="Comment Subject Char"/>
    <w:basedOn w:val="CommentTextChar"/>
    <w:link w:val="CommentSubject"/>
    <w:semiHidden/>
    <w:rsid w:val="00D06FD2"/>
    <w:rPr>
      <w:b/>
      <w:bCs/>
      <w:sz w:val="20"/>
      <w:szCs w:val="20"/>
    </w:rPr>
  </w:style>
  <w:style w:type="paragraph" w:styleId="Revision">
    <w:name w:val="Revision"/>
    <w:hidden/>
    <w:semiHidden/>
    <w:rsid w:val="005F00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nafo.int/Portals/0/PDFs/sc/2019/scs19-20.pdf" TargetMode="External"/><Relationship Id="rId18" Type="http://schemas.openxmlformats.org/officeDocument/2006/relationships/image" Target="media/image3.sv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doi.org/10.18637/jss.v070.i05"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fo.int/Data/STATLANT-21A" TargetMode="External"/><Relationship Id="rId24" Type="http://schemas.openxmlformats.org/officeDocument/2006/relationships/image" Target="media/image9.svg"/><Relationship Id="rId5" Type="http://schemas.openxmlformats.org/officeDocument/2006/relationships/footnotes" Target="footnotes.xml"/><Relationship Id="rId15" Type="http://schemas.openxmlformats.org/officeDocument/2006/relationships/hyperlink" Target="https://doi.org/10.1016/j.fishres.2021.106180"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mailto:Paul.Regular@dfo-mpo.gc.ca"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R-project.org/" TargetMode="External"/><Relationship Id="rId22" Type="http://schemas.openxmlformats.org/officeDocument/2006/relationships/image" Target="media/image7.svg"/><Relationship Id="rId27" Type="http://schemas.microsoft.com/office/2011/relationships/people" Target="peop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8569</Words>
  <Characters>48845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57300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Regular, Paul</cp:lastModifiedBy>
  <cp:revision>2</cp:revision>
  <dcterms:created xsi:type="dcterms:W3CDTF">2023-11-27T14:38:00Z</dcterms:created>
  <dcterms:modified xsi:type="dcterms:W3CDTF">2023-11-27T14:38:00Z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&lt;&lt;PMR: this is a very rough first cut intended to get coarse ideas on the page&gt;&gt; Carrying capacity is a fundamental concept in population ecology, yet standard models tend to ignore species interactions and do not account for variable environme</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1 Fisheries and Oceans Canada, Northwest Atlantic Fisheries Center, 80 East White Hills, St. John’s, Newfoundland and Labrador, A1C 5X1, Canada  *Corresponding author E-mail: Paul.Regular@dfo-mpo.gc.ca  2023-06-29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