
<file path=[Content_Types].xml><?xml version="1.0" encoding="utf-8"?>
<Types xmlns="http://schemas.openxmlformats.org/package/2006/content-types">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8F56C" w14:textId="77777777" w:rsidR="003F0E22" w:rsidRDefault="00000000">
      <w:pPr>
        <w:pStyle w:val="Title"/>
      </w:pPr>
      <w:r>
        <w:t>Summing the parts: Improving population estimates using a state-space multispecies production model</w:t>
      </w:r>
    </w:p>
    <w:p w14:paraId="1F0C2041" w14:textId="77777777" w:rsidR="003F0E22" w:rsidRDefault="00000000">
      <w:pPr>
        <w:pStyle w:val="Author"/>
      </w:pPr>
      <w:r>
        <w:t>Paul M. Regular*, Mariano Koen-Alonso, M. Joanne Morgan, Pierre Pepin, Rick M. Rideout</w:t>
      </w:r>
    </w:p>
    <w:p w14:paraId="2F3E265F" w14:textId="77777777" w:rsidR="003F0E22" w:rsidRDefault="00000000">
      <w:pPr>
        <w:pStyle w:val="Date"/>
      </w:pPr>
      <w:r>
        <w:t>Fisheries and Oceans Canada, Northwest Atlantic Fisheries Center, 80 East White Hills, St. John’s, Newfoundland and Labrador, A1C 5X1, Canada</w:t>
      </w:r>
      <w:r>
        <w:br/>
      </w:r>
      <w:r>
        <w:br/>
        <w:t>*Corresponding author</w:t>
      </w:r>
      <w:r>
        <w:br/>
        <w:t xml:space="preserve">E-mail: </w:t>
      </w:r>
      <w:hyperlink r:id="rId7">
        <w:r>
          <w:rPr>
            <w:rStyle w:val="Hyperlink"/>
          </w:rPr>
          <w:t>Paul.Regular@dfo-mpo.gc.ca</w:t>
        </w:r>
      </w:hyperlink>
      <w:r>
        <w:br/>
      </w:r>
      <w:r>
        <w:br/>
        <w:t>2023-11-29</w:t>
      </w:r>
    </w:p>
    <w:p w14:paraId="7E52CC4C" w14:textId="77777777" w:rsidR="003F0E22" w:rsidRDefault="00000000">
      <w:pPr>
        <w:pStyle w:val="Abstract"/>
      </w:pPr>
      <w:r>
        <w:rPr>
          <w:b/>
          <w:bCs/>
        </w:rPr>
        <w:lastRenderedPageBreak/>
        <w:t>Abstract:</w:t>
      </w:r>
      <w:r>
        <w:br/>
        <w:t>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w:t>
      </w:r>
      <w:r>
        <w:br/>
      </w:r>
    </w:p>
    <w:p w14:paraId="49746BE1" w14:textId="77777777" w:rsidR="003F0E22" w:rsidRDefault="00000000">
      <w:pPr>
        <w:pStyle w:val="Heading1"/>
      </w:pPr>
      <w:bookmarkStart w:id="0" w:name="introduction"/>
      <w:r>
        <w:t>Introduction</w:t>
      </w:r>
    </w:p>
    <w:p w14:paraId="125B82B7" w14:textId="77777777" w:rsidR="003F0E22"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Hilborn et al., 1995</w:t>
        </w:r>
      </w:hyperlink>
      <w:r>
        <w:t xml:space="preserve">). The understanding that populations generally produce more offspring than an </w:t>
      </w:r>
      <w:r>
        <w:lastRenderedPageBreak/>
        <w:t>environment can sustain led to the notion that the ‘surplus’ can be harvested sustainably (</w:t>
      </w:r>
      <w:hyperlink w:anchor="ref-pauly2021">
        <w:r>
          <w:rPr>
            <w:rStyle w:val="Hyperlink"/>
          </w:rPr>
          <w:t>Pauly &amp;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ignores the ubiquity of environmental variation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5BB25024" w14:textId="77777777" w:rsidR="003F0E22" w:rsidRDefault="00000000">
      <w:pPr>
        <w:pStyle w:val="BodyText"/>
      </w:pPr>
      <w:r>
        <w:t xml:space="preserve">Recognizing the limitations of single-species approaches, there have been calls to move towards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to multispecies surplus production models (</w:t>
      </w:r>
      <w:hyperlink w:anchor="ref-bundy2012">
        <w:r>
          <w:rPr>
            <w:rStyle w:val="Hyperlink"/>
          </w:rPr>
          <w:t>Bundy et al., 2012</w:t>
        </w:r>
      </w:hyperlink>
      <w:r>
        <w:t xml:space="preserve">; e.g., </w:t>
      </w:r>
      <w:hyperlink w:anchor="ref-gamble2009">
        <w:r>
          <w:rPr>
            <w:rStyle w:val="Hyperlink"/>
          </w:rPr>
          <w:t>Gamble &amp; Link, 2009</w:t>
        </w:r>
      </w:hyperlink>
      <w:r>
        <w:t xml:space="preserve">; </w:t>
      </w:r>
      <w:hyperlink w:anchor="ref-mueter2006">
        <w:r>
          <w:rPr>
            <w:rStyle w:val="Hyperlink"/>
          </w:rPr>
          <w:t>Mueter &amp; Megrey, 2006</w:t>
        </w:r>
      </w:hyperlink>
      <w:r>
        <w:t xml:space="preserve">). However, the application of these approaches to fisheries management have often been hindered by data limitations (e.g., age data are </w:t>
      </w:r>
      <w:r>
        <w:lastRenderedPageBreak/>
        <w:t>frequently not available) and knowledge gaps (e.g., incomplete understanding of food-web interactions). There is therefore a need for methods to help bridge the gap between single-species and multispecies assessment in data or information poor systems.</w:t>
      </w:r>
    </w:p>
    <w:p w14:paraId="62B94E9E" w14:textId="77777777" w:rsidR="003F0E22" w:rsidRDefault="00000000">
      <w:pPr>
        <w:pStyle w:val="BodyText"/>
      </w:pPr>
      <w:r>
        <w:t>In this paper, we borrow 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specifically the Grand Banks of Newfoundland. This case study is particularly intriguing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We aim to demonstrate the potential utility of our approach for revealing and accounting for species interactions and differentiating the impacts of fishing from environmental effects. The subsequent sections of this paper will present the conceptual framework of our model, describe its application, and discuss the implications of our findings for ecosystem-based fisheries management.</w:t>
      </w:r>
    </w:p>
    <w:p w14:paraId="7A09DF8F" w14:textId="77777777" w:rsidR="003F0E22" w:rsidRDefault="00000000">
      <w:pPr>
        <w:pStyle w:val="Heading1"/>
      </w:pPr>
      <w:bookmarkStart w:id="1" w:name="methods"/>
      <w:bookmarkEnd w:id="0"/>
      <w:r>
        <w:t>Methods</w:t>
      </w:r>
    </w:p>
    <w:p w14:paraId="67D25AD2" w14:textId="77777777" w:rsidR="003F0E22" w:rsidRDefault="00000000">
      <w:pPr>
        <w:pStyle w:val="Heading2"/>
      </w:pPr>
      <w:bookmarkStart w:id="2" w:name="model-formulation"/>
      <w:r>
        <w:t>Model formulation</w:t>
      </w:r>
    </w:p>
    <w:p w14:paraId="0BF31D75" w14:textId="77777777" w:rsidR="003F0E22" w:rsidRDefault="00000000">
      <w:pPr>
        <w:pStyle w:val="FirstParagraph"/>
      </w:pPr>
      <w:r>
        <w:t>Trends in fish populations have frequently been described using state-space production models of the form</w:t>
      </w:r>
    </w:p>
    <w:p w14:paraId="08BDCBF4" w14:textId="77777777" w:rsidR="003F0E2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7445F6D3" w14:textId="77777777" w:rsidR="003F0E22"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3B1AFCC8"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15604F83" w14:textId="77777777" w:rsidR="003F0E22"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competing for the same resources.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2AD719AD"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w:commentRangeStart w:id="3"/>
                <w:commentRangeEnd w:id="3"/>
                <m:r>
                  <m:rPr>
                    <m:sty m:val="p"/>
                  </m:rPr>
                  <w:rPr>
                    <w:rStyle w:val="CommentReference"/>
                  </w:rPr>
                  <w:commentReference w:id="3"/>
                </m:r>
              </m:e>
            </m:mr>
          </m:m>
        </m:oMath>
      </m:oMathPara>
    </w:p>
    <w:p w14:paraId="1900C775" w14:textId="77777777" w:rsidR="003F0E22" w:rsidRDefault="00000000">
      <w:pPr>
        <w:pStyle w:val="FirstParagraph"/>
      </w:pPr>
      <w:r>
        <w:lastRenderedPageBreak/>
        <w:t xml:space="preserve">While intrinsic rates of growth may vary across species, this formulation implies that the growth of all species is ultimately limited by the finite amount of energy in a region (i.e., as the total population of all species in the system increases towards </w:t>
      </w:r>
      <m:oMath>
        <m:r>
          <w:rPr>
            <w:rFonts w:ascii="Cambria Math" w:hAnsi="Cambria Math"/>
          </w:rPr>
          <m:t>K</m:t>
        </m:r>
      </m:oMath>
      <w:r>
        <w:t>, year-over-year growth of all species slows). Combining equations (1), (2), and (4), our model becomes</w:t>
      </w:r>
    </w:p>
    <w:p w14:paraId="4DF0A387" w14:textId="77777777" w:rsidR="003F0E2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23BE4B96" w14:textId="77777777" w:rsidR="003F0E22" w:rsidRDefault="00000000">
      <w:pPr>
        <w:pStyle w:val="FirstParagraph"/>
      </w:pPr>
      <w:r>
        <w:t xml:space="preserve">The inclusion of multiple species in the model permits the estimation of covariance. While covarying changes in observed populations may be described using observation errors, we assume that most covariance stems from ecosystem processes. We therefore assume that observation errors are independent and normally distributed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w:t>
      </w:r>
      <w:commentRangeStart w:id="4"/>
      <w:r>
        <w:t xml:space="preserve">A more flexible error structure is used to describe the process errors as ecological processes may contribute to species or temporal dependencies. </w:t>
      </w:r>
      <w:commentRangeEnd w:id="4"/>
      <w:r w:rsidR="00A73DB1">
        <w:rPr>
          <w:rStyle w:val="CommentReference"/>
        </w:rPr>
        <w:commentReference w:id="4"/>
      </w:r>
      <w:r>
        <w:t xml:space="preserve">Beyond the global limiting effect of </w:t>
      </w:r>
      <m:oMath>
        <m:r>
          <w:rPr>
            <w:rFonts w:ascii="Cambria Math" w:hAnsi="Cambria Math"/>
          </w:rPr>
          <m:t>K</m:t>
        </m:r>
      </m:oMath>
      <w:r>
        <w:t>,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factors contributing to the process errors change gradually over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56666F4A" w14:textId="77777777" w:rsidR="003F0E2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32C853C2" w14:textId="77777777" w:rsidR="003F0E22" w:rsidRDefault="00000000">
      <w:pPr>
        <w:pStyle w:val="FirstParagraph"/>
      </w:pPr>
      <w:r>
        <w:t>and</w:t>
      </w:r>
    </w:p>
    <w:p w14:paraId="4A420634"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61F4D2BA" w14:textId="77777777" w:rsidR="003F0E22"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0845219C" w14:textId="77777777" w:rsidR="003F0E22"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The idea is that some factors may affect positive or negative changes in the populations while others may affect change in the total carrying capacity of the system. A covariate option for intrinsic rates of increase was not implemented since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w:t>
      </w:r>
      <w:r>
        <w:lastRenderedPageBreak/>
        <w:t xml:space="preserve">the single-species Schaefer production function by dropping the summation of biomass in equation (5) and estimating species-specific carrying capacities, </w:t>
      </w:r>
      <w:commentRangeStart w:id="5"/>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w:t>
      </w:r>
      <w:commentRangeEnd w:id="5"/>
      <w:r w:rsidR="009339DD">
        <w:rPr>
          <w:rStyle w:val="CommentReference"/>
        </w:rPr>
        <w:commentReference w:id="5"/>
      </w:r>
      <w:r>
        <w:t>(i.e., apply equation (3) indexed by species).</w:t>
      </w:r>
    </w:p>
    <w:p w14:paraId="5F2710B2" w14:textId="77777777" w:rsidR="003F0E22" w:rsidRDefault="00000000">
      <w:pPr>
        <w:pStyle w:val="Heading2"/>
      </w:pPr>
      <w:bookmarkStart w:id="6" w:name="statistical-framework"/>
      <w:bookmarkEnd w:id="2"/>
      <w:r>
        <w:t>Statistical framework</w:t>
      </w:r>
    </w:p>
    <w:p w14:paraId="78B87140" w14:textId="77777777" w:rsidR="003F0E22" w:rsidRDefault="00000000">
      <w:pPr>
        <w:pStyle w:val="FirstParagraph"/>
      </w:pPr>
      <w:r>
        <w:t xml:space="preserve">This model was implemented using template model builder (TMB; </w:t>
      </w:r>
      <w:hyperlink w:anchor="ref-kristensen2015">
        <w:r>
          <w:rPr>
            <w:rStyle w:val="Hyperlink"/>
          </w:rPr>
          <w:t>Kristensen et al., 2016</w:t>
        </w:r>
      </w:hyperlink>
      <w:r>
        <w:t>), which is a R (</w:t>
      </w:r>
      <w:hyperlink w:anchor="ref-R">
        <w:r>
          <w:rPr>
            <w:rStyle w:val="Hyperlink"/>
          </w:rPr>
          <w:t>R Core Team, 2021</w:t>
        </w:r>
      </w:hyperlink>
      <w:r>
        <w:t xml:space="preserve">) package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of parameters was generally more successful when vaguely informative priors were specified, and in some cases, not estimatable when unconstrained.</w:t>
      </w:r>
    </w:p>
    <w:p w14:paraId="56DD965D" w14:textId="77777777" w:rsidR="003F0E22" w:rsidRDefault="00000000">
      <w:pPr>
        <w:pStyle w:val="Heading2"/>
      </w:pPr>
      <w:bookmarkStart w:id="7" w:name="case-study"/>
      <w:bookmarkEnd w:id="6"/>
      <w:r>
        <w:t>Case study</w:t>
      </w:r>
    </w:p>
    <w:p w14:paraId="0DDE6034" w14:textId="77777777" w:rsidR="003F0E22" w:rsidRDefault="00000000">
      <w:pPr>
        <w:pStyle w:val="Heading3"/>
      </w:pPr>
      <w:bookmarkStart w:id="8" w:name="data"/>
      <w:r>
        <w:t>Data</w:t>
      </w:r>
    </w:p>
    <w:p w14:paraId="271D6C61" w14:textId="77777777" w:rsidR="003F0E22" w:rsidRDefault="00000000">
      <w:pPr>
        <w:pStyle w:val="FirstParagraph"/>
      </w:pPr>
      <w:r>
        <w:t>The multispecies production model described above requires two basic inputs for each species: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w:t>
      </w:r>
      <w:r>
        <w:lastRenderedPageBreak/>
        <w:t>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 (Figure 1): 1) the Northeast NL Shelf (NAFO divisions 2J3K), 2) the Grand Bank (NAFO divisions 3LNO), and 3) Southern NL (NAFO sub-division 3Ps).</w:t>
      </w:r>
    </w:p>
    <w:p w14:paraId="2ED395A3" w14:textId="0AF3D29B" w:rsidR="003F0E22" w:rsidRDefault="00000000">
      <w:pPr>
        <w:pStyle w:val="BodyText"/>
      </w:pPr>
      <w:r>
        <w:t xml:space="preserve">Catch data were extracted from NAFO’s STATLANT 21A </w:t>
      </w:r>
      <w:ins w:id="9" w:author="Rideout, Rick" w:date="2023-11-30T14:52:00Z">
        <w:r w:rsidR="008D10CC">
          <w:t xml:space="preserve">database </w:t>
        </w:r>
      </w:ins>
      <w:r>
        <w:t>(</w:t>
      </w:r>
      <w:hyperlink r:id="rId12">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w:t>
      </w:r>
      <w:ins w:id="10" w:author="Rideout, Rick" w:date="2023-11-30T15:04:00Z">
        <w:r w:rsidR="00A260DC">
          <w:t>Starting in the fall of</w:t>
        </w:r>
      </w:ins>
      <w:del w:id="11" w:author="Rideout, Rick" w:date="2023-11-30T15:04:00Z">
        <w:r w:rsidDel="00F55F74">
          <w:delText>After</w:delText>
        </w:r>
      </w:del>
      <w:r>
        <w:t xml:space="preserve"> 1995</w:t>
      </w:r>
      <w:del w:id="12" w:author="Rideout, Rick" w:date="2023-11-30T15:08:00Z">
        <w:r w:rsidDel="00F55F74">
          <w:delText>, both</w:delText>
        </w:r>
      </w:del>
      <w:r>
        <w:t xml:space="preserve"> survey </w:t>
      </w:r>
      <w:commentRangeStart w:id="13"/>
      <w:del w:id="14" w:author="Rideout, Rick" w:date="2023-11-30T15:11:00Z">
        <w:r w:rsidDel="00F55F74">
          <w:delText>vessels</w:delText>
        </w:r>
      </w:del>
      <w:commentRangeEnd w:id="13"/>
      <w:r w:rsidR="00F55F74">
        <w:rPr>
          <w:rStyle w:val="CommentReference"/>
        </w:rPr>
        <w:commentReference w:id="13"/>
      </w:r>
      <w:del w:id="15" w:author="Rideout, Rick" w:date="2023-11-30T15:11:00Z">
        <w:r w:rsidDel="00F55F74">
          <w:delText xml:space="preserve"> and</w:delText>
        </w:r>
      </w:del>
      <w:r>
        <w:t xml:space="preserve"> gear w</w:t>
      </w:r>
      <w:ins w:id="16" w:author="Rideout, Rick" w:date="2023-11-30T15:11:00Z">
        <w:r w:rsidR="00F55F74">
          <w:t>as</w:t>
        </w:r>
      </w:ins>
      <w:del w:id="17" w:author="Rideout, Rick" w:date="2023-11-30T15:11:00Z">
        <w:r w:rsidDel="00F55F74">
          <w:delText>ere</w:delText>
        </w:r>
      </w:del>
      <w:r>
        <w:t xml:space="preserve"> changed</w:t>
      </w:r>
      <w:ins w:id="18" w:author="Rideout, Rick" w:date="2023-11-30T15:11:00Z">
        <w:r w:rsidR="00F55F74">
          <w:t xml:space="preserve"> to</w:t>
        </w:r>
      </w:ins>
      <w:del w:id="19" w:author="Rideout, Rick" w:date="2023-11-30T15:11:00Z">
        <w:r w:rsidDel="00F55F74">
          <w:delText>. Since then,</w:delText>
        </w:r>
      </w:del>
      <w:r>
        <w:t xml:space="preserve"> a </w:t>
      </w:r>
      <w:proofErr w:type="spellStart"/>
      <w:r>
        <w:t>Campelen</w:t>
      </w:r>
      <w:proofErr w:type="spellEnd"/>
      <w:r>
        <w:t xml:space="preserve"> shrimp trawl </w:t>
      </w:r>
      <w:del w:id="20" w:author="Rideout, Rick" w:date="2023-11-30T15:12:00Z">
        <w:r w:rsidDel="00F55F74">
          <w:delText xml:space="preserve">has been used and, </w:delText>
        </w:r>
      </w:del>
      <w:del w:id="21" w:author="Rideout, Rick" w:date="2023-11-30T15:13:00Z">
        <w:r w:rsidDel="00F55F74">
          <w:delText>because of its smaller mesh size</w:delText>
        </w:r>
      </w:del>
      <w:ins w:id="22" w:author="Rideout, Rick" w:date="2023-11-30T15:13:00Z">
        <w:r w:rsidR="00F55F74">
          <w:t xml:space="preserve"> with a small mesh </w:t>
        </w:r>
        <w:proofErr w:type="spellStart"/>
        <w:r w:rsidR="00F55F74">
          <w:t>codend</w:t>
        </w:r>
        <w:proofErr w:type="spellEnd"/>
        <w:r w:rsidR="00F55F74">
          <w:t>, which allowed</w:t>
        </w:r>
      </w:ins>
      <w:del w:id="23" w:author="Rideout, Rick" w:date="2023-11-30T15:13:00Z">
        <w:r w:rsidDel="00F55F74">
          <w:delText>,</w:delText>
        </w:r>
      </w:del>
      <w:r>
        <w:t xml:space="preserve"> a broader range of species and size groups </w:t>
      </w:r>
      <w:ins w:id="24" w:author="Rideout, Rick" w:date="2023-11-30T15:13:00Z">
        <w:r w:rsidR="00F55F74">
          <w:t>to be</w:t>
        </w:r>
      </w:ins>
      <w:del w:id="25" w:author="Rideout, Rick" w:date="2023-11-30T15:13:00Z">
        <w:r w:rsidDel="00F55F74">
          <w:delText>have been</w:delText>
        </w:r>
      </w:del>
      <w:r>
        <w:t xml:space="preserve"> captured (</w:t>
      </w:r>
      <w:hyperlink w:anchor="ref-chadwick2007">
        <w:r>
          <w:rPr>
            <w:rStyle w:val="Hyperlink"/>
          </w:rPr>
          <w:t>Chadwick et al., 2007</w:t>
        </w:r>
      </w:hyperlink>
      <w:r>
        <w:t>). Within each era of the survey (Yankee, Engel, or Campelen) and for each season and region, samples used in this study 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xml:space="preserve">) were then conducted on the remaining species to obtain indices of total biomass. To minimize bias introduced by inconsistent survey coverage, </w:t>
      </w:r>
      <w:r>
        <w:lastRenderedPageBreak/>
        <w:t>indices from years where more than 20% of the biomass was likely missed, inferred from time averaged percent occupancy within strata, were excluded from our analysis [</w:t>
      </w:r>
      <w:r>
        <w:rPr>
          <w:i/>
          <w:iCs/>
        </w:rPr>
        <w:t>sensu</w:t>
      </w:r>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w:t>
      </w:r>
      <w:ins w:id="26" w:author="Rideout, Rick" w:date="2023-11-30T15:57:00Z">
        <w:r w:rsidR="00F27096">
          <w:t xml:space="preserve"> by species</w:t>
        </w:r>
      </w:ins>
      <w:r>
        <w:t>, within each region. On the Northeast NL Shelf, the included species were Redfish spp. (</w:t>
      </w:r>
      <w:r>
        <w:rPr>
          <w:i/>
          <w:iCs/>
        </w:rPr>
        <w:t>Sebastes fasciatus</w:t>
      </w:r>
      <w:r>
        <w:t xml:space="preserve"> and </w:t>
      </w:r>
      <w:r>
        <w:rPr>
          <w:i/>
          <w:iCs/>
        </w:rPr>
        <w:t>S. mentella</w:t>
      </w:r>
      <w:r>
        <w:t xml:space="preserve"> combined), Wolffish spp. (</w:t>
      </w:r>
      <w:r>
        <w:rPr>
          <w:i/>
          <w:iCs/>
        </w:rPr>
        <w:t>Anarhichas lupus</w:t>
      </w:r>
      <w:r>
        <w:t xml:space="preserve"> and </w:t>
      </w:r>
      <w:r>
        <w:rPr>
          <w:i/>
          <w:iCs/>
        </w:rPr>
        <w:t>A. minor</w:t>
      </w:r>
      <w:r>
        <w:t xml:space="preserve"> combined),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and </w:t>
      </w:r>
      <w:r>
        <w:rPr>
          <w:i/>
          <w:iCs/>
        </w:rPr>
        <w:t>Malacoraja senta</w:t>
      </w:r>
      <w:r>
        <w:t xml:space="preserve"> combined). On the Grand Bank, the included species were Redfish spp., Yellowtail Flounder (</w:t>
      </w:r>
      <w:r>
        <w:rPr>
          <w:i/>
          <w:iCs/>
        </w:rPr>
        <w:t>Limanda ferruginea</w:t>
      </w:r>
      <w:r>
        <w:t>), American Plaice, Greenland Halibut, Haddock (</w:t>
      </w:r>
      <w:r>
        <w:rPr>
          <w:i/>
          <w:iCs/>
        </w:rPr>
        <w:t>Melanogrammus aeglefinus</w:t>
      </w:r>
      <w:r>
        <w:t>), and Atlantic Cod. Finally, along Sourthern NL, the included species were Redfish spp., Witch Flounder, American Plaice, White hake (</w:t>
      </w:r>
      <w:r>
        <w:rPr>
          <w:i/>
          <w:iCs/>
        </w:rPr>
        <w:t>Urophycis tenuis</w:t>
      </w:r>
      <w:r>
        <w:t>), Haddock, Atlantic Cod, and Skate spp.</w:t>
      </w:r>
    </w:p>
    <w:p w14:paraId="0620643D" w14:textId="77777777" w:rsidR="003F0E22" w:rsidRDefault="00000000">
      <w:pPr>
        <w:pStyle w:val="Heading3"/>
      </w:pPr>
      <w:bookmarkStart w:id="27" w:name="priors"/>
      <w:bookmarkEnd w:id="8"/>
      <w:r>
        <w:t>Priors</w:t>
      </w:r>
    </w:p>
    <w:p w14:paraId="23B2195B" w14:textId="77777777" w:rsidR="003F0E22"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02837D72" w14:textId="77777777" w:rsidR="003F0E22" w:rsidRDefault="00000000">
      <w:pPr>
        <w:pStyle w:val="Heading4"/>
      </w:pPr>
      <w:bookmarkStart w:id="28"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09703989" w14:textId="77777777" w:rsidR="003F0E22"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w:t>
      </w:r>
      <w:r>
        <w:lastRenderedPageBreak/>
        <w:t xml:space="preserve">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315BFC50"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30EB54BB" w14:textId="77777777" w:rsidR="003F0E22"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On the lower end, this prior imposes the assumption that the fishery is unlikely to have caught the equivalent of </w:t>
      </w:r>
      <m:oMath>
        <m:r>
          <w:rPr>
            <w:rFonts w:ascii="Cambria Math" w:hAnsi="Cambria Math"/>
          </w:rPr>
          <m:t>K</m:t>
        </m:r>
      </m:oMath>
      <w:r>
        <w:t xml:space="preserve"> and, on the upper end, it assumes that the maximum observed catch represents a portion of </w:t>
      </w:r>
      <m:oMath>
        <m:r>
          <w:rPr>
            <w:rFonts w:ascii="Cambria Math" w:hAnsi="Cambria Math"/>
          </w:rPr>
          <m:t>K</m:t>
        </m:r>
      </m:oMath>
      <w:r>
        <w:t xml:space="preserve">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4F1E660F" w14:textId="77777777" w:rsidR="003F0E22" w:rsidRDefault="00000000">
      <w:pPr>
        <w:pStyle w:val="Heading4"/>
      </w:pPr>
      <w:bookmarkStart w:id="29" w:name="starting-biomass-b_1s"/>
      <w:bookmarkEnd w:id="28"/>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5C3E20A8" w14:textId="77777777" w:rsidR="003F0E22" w:rsidRDefault="00000000">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5677AF09"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4882DC96" w14:textId="1D6417C0" w:rsidR="003F0E22"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this assumes that the fishery did not catch all of the biomass in the first year and it assumes that the catch represents a portion of the biomass in the first year. A </w:t>
      </w:r>
      <w:ins w:id="30" w:author="Rideout, Rick" w:date="2023-12-01T14:33:00Z">
        <w:r w:rsidR="00615EB3">
          <w:t xml:space="preserve">potential </w:t>
        </w:r>
      </w:ins>
      <w:r>
        <w:t xml:space="preserve">flaw with the upper value for this prior is that a lack of market demand or </w:t>
      </w:r>
      <w:commentRangeStart w:id="31"/>
      <w:r>
        <w:t>conservation concerns</w:t>
      </w:r>
      <w:commentRangeEnd w:id="31"/>
      <w:r w:rsidR="00615EB3">
        <w:rPr>
          <w:rStyle w:val="CommentReference"/>
        </w:rPr>
        <w:commentReference w:id="31"/>
      </w:r>
      <w:r>
        <w:t xml:space="preserve"> may contradict the assumption that landings are coarsely proportional to stock size. However, the upper range </w:t>
      </w:r>
      <w:r>
        <w:lastRenderedPageBreak/>
        <w:t>chosen was considered reasonable for this case study as there was an active fishery for each species examined here at the start of the time series.</w:t>
      </w:r>
    </w:p>
    <w:p w14:paraId="5F554B0B" w14:textId="77777777" w:rsidR="003F0E22" w:rsidRDefault="00000000">
      <w:pPr>
        <w:pStyle w:val="Heading4"/>
      </w:pPr>
      <w:bookmarkStart w:id="32" w:name="Xccfb9acb9fbb600a52636a6279610d36f06528c"/>
      <w:bookmarkEnd w:id="29"/>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662CDC0E" w14:textId="77777777" w:rsidR="003F0E22"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2">
        <w:r>
          <w:rPr>
            <w:rStyle w:val="Hyperlink"/>
          </w:rPr>
          <w:t>Regular et al., 2022</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6202F6FA" w14:textId="77777777" w:rsidR="003F0E22" w:rsidRDefault="00000000">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26C9B242" w14:textId="77777777" w:rsidR="003F0E22" w:rsidRDefault="00000000">
      <w:pPr>
        <w:pStyle w:val="Heading4"/>
      </w:pPr>
      <w:bookmarkStart w:id="33" w:name="X50c46e4f9447be999e8db38f3be4dade35b6469"/>
      <w:bookmarkEnd w:id="32"/>
      <w:r>
        <w:rPr>
          <w:i/>
          <w:iCs/>
        </w:rPr>
        <w:lastRenderedPageBreak/>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22C854DC" w14:textId="5BD6CBBD" w:rsidR="003F0E22" w:rsidRDefault="00000000">
      <w:pPr>
        <w:pStyle w:val="FirstParagraph"/>
      </w:pPr>
      <w:r>
        <w:t xml:space="preserve">The catchability of the spring and fall surveys conducted by DFO likely changed over time given the shift in gear from a Yankee to Engel to Campelen trawl as well as spatial shifts in survey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remainder. The lower range was widened, especially for deep-water species, to account for </w:t>
      </w:r>
      <w:ins w:id="34" w:author="Rideout, Rick" w:date="2023-12-03T20:19:00Z">
        <w:r w:rsidR="002B1A10">
          <w:t xml:space="preserve">potential </w:t>
        </w:r>
      </w:ins>
      <w:r>
        <w:t xml:space="preserve">gear selectivity issues (e.g., escapement under the footgear; </w:t>
      </w:r>
      <w:hyperlink w:anchor="ref-walsh1992">
        <w:r>
          <w:rPr>
            <w:rStyle w:val="Hyperlink"/>
          </w:rPr>
          <w:t>Walsh, 1992</w:t>
        </w:r>
      </w:hyperlink>
      <w:r>
        <w:t>) and availability issues (e.g., portion of the stock in deeper water than covered by the survey). The upper inflection</w:t>
      </w:r>
      <w:del w:id="35" w:author="Rideout, Rick" w:date="2023-12-03T20:22:00Z">
        <w:r w:rsidDel="002B1A10">
          <w:delText>s</w:delText>
        </w:r>
      </w:del>
      <w:r>
        <w:t xml:space="preserve"> point was set to 1 as it is possible that the survey indices represent overestimates of the true population size in some instances.</w:t>
      </w:r>
    </w:p>
    <w:p w14:paraId="7A6C4F50" w14:textId="77777777" w:rsidR="003F0E22" w:rsidRDefault="00000000">
      <w:pPr>
        <w:pStyle w:val="BodyText"/>
      </w:pPr>
      <w:r>
        <w:t>A prior for observation error variance was informed by unbiased design-based estimates of 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282BB6A3"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300A4762" w14:textId="77777777" w:rsidR="003F0E22" w:rsidRDefault="00000000">
      <w:pPr>
        <w:pStyle w:val="FirstParagraph"/>
      </w:pPr>
      <w:r>
        <w:lastRenderedPageBreak/>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outside of the survey domain. Another two times multiplier was applied for deep-water species as they have more scope for shifting outside the survey domain.</w:t>
      </w:r>
    </w:p>
    <w:p w14:paraId="15614EF9" w14:textId="77777777" w:rsidR="003F0E22" w:rsidRDefault="00000000">
      <w:pPr>
        <w:pStyle w:val="Heading3"/>
      </w:pPr>
      <w:bookmarkStart w:id="36" w:name="model-selection"/>
      <w:bookmarkEnd w:id="27"/>
      <w:bookmarkEnd w:id="33"/>
      <w:r>
        <w:t>Model selection</w:t>
      </w:r>
    </w:p>
    <w:p w14:paraId="511F6E2A" w14:textId="77777777" w:rsidR="003F0E22" w:rsidRDefault="00000000">
      <w:pPr>
        <w:pStyle w:val="FirstParagraph"/>
      </w:pPr>
      <w:r>
        <w:t>The degree to which density-dependence of the demersal fish community inhabiting the NL shelves is driven by intra versus interspecific competition is not known. Nor is the degree to which species interactions affect population dynamics.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3DD21494" w14:textId="77777777" w:rsidR="003F0E22"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accounted for in the production equation. Residual variations not explained by intrinsic growth, density-</w:t>
      </w:r>
      <w:r>
        <w:lastRenderedPageBreak/>
        <w:t>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3F6C4B01" w14:textId="77777777" w:rsidR="003F0E22"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38864C04" w14:textId="77777777" w:rsidR="003F0E22"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131F0973" w14:textId="77777777" w:rsidR="003F0E22"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28BA4C02" w14:textId="77777777" w:rsidR="003F0E22"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0E02AA4B" w14:textId="77777777" w:rsidR="003F0E22" w:rsidRDefault="00000000">
      <w:pPr>
        <w:pStyle w:val="BodyText"/>
      </w:pPr>
      <w:r>
        <w:rPr>
          <w:b/>
          <w:bCs/>
        </w:rPr>
        <w:lastRenderedPageBreak/>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174BB041" w14:textId="77777777" w:rsidR="003F0E22"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4DB55925" w14:textId="77777777" w:rsidR="003F0E22"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4129CEBC" w14:textId="77777777" w:rsidR="003F0E22" w:rsidRDefault="00000000">
      <w:pPr>
        <w:pStyle w:val="BodyText"/>
      </w:pPr>
      <w:r>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(i.e., one fold)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w:t>
      </w:r>
      <w:r>
        <w:lastRenderedPageBreak/>
        <w:t xml:space="preserve">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7BECEA85"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4AEDE38E" w14:textId="77777777" w:rsidR="003F0E22"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 These scores are comparable even for the single-species model as it compares species-specific data points to predictions.</w:t>
      </w:r>
    </w:p>
    <w:p w14:paraId="233FA683" w14:textId="77777777" w:rsidR="003F0E22" w:rsidRDefault="00000000">
      <w:pPr>
        <w:pStyle w:val="Heading1"/>
      </w:pPr>
      <w:bookmarkStart w:id="37" w:name="results"/>
      <w:bookmarkEnd w:id="1"/>
      <w:bookmarkEnd w:id="7"/>
      <w:bookmarkEnd w:id="36"/>
      <w:r>
        <w:t>Results</w:t>
      </w:r>
    </w:p>
    <w:p w14:paraId="5BE3C6F4" w14:textId="77777777" w:rsidR="003F0E22" w:rsidRDefault="00000000">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 to be </w:t>
      </w:r>
      <w:r>
        <w:lastRenderedPageBreak/>
        <w:t>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4C5476E6" w14:textId="77777777" w:rsidR="003F0E22" w:rsidRDefault="00000000">
      <w:pPr>
        <w:pStyle w:val="BodyText"/>
      </w:pPr>
      <w:r>
        <w:t>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5F6243D9" w14:textId="046CCE3B" w:rsidR="003F0E22"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w:t>
      </w:r>
      <w:r>
        <w:lastRenderedPageBreak/>
        <w:t xml:space="preserve">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w:t>
      </w:r>
      <w:del w:id="38" w:author="Rideout, Rick" w:date="2023-12-03T22:28:00Z">
        <w:r w:rsidDel="00F76084">
          <w:delText xml:space="preserve">in </w:delText>
        </w:r>
      </w:del>
      <w:ins w:id="39" w:author="Rideout, Rick" w:date="2023-12-03T22:28:00Z">
        <w:r w:rsidR="00F76084">
          <w:t>o</w:t>
        </w:r>
        <w:r w:rsidR="00F76084">
          <w:t xml:space="preserve">n </w:t>
        </w:r>
      </w:ins>
      <w:r>
        <w:t>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57D1C40E" w14:textId="77777777" w:rsidR="003F0E22" w:rsidRDefault="00000000">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255B4054" w14:textId="77777777" w:rsidR="003F0E22" w:rsidRDefault="00000000">
      <w:pPr>
        <w:pStyle w:val="Heading1"/>
      </w:pPr>
      <w:bookmarkStart w:id="40" w:name="discussion"/>
      <w:bookmarkEnd w:id="37"/>
      <w:r>
        <w:lastRenderedPageBreak/>
        <w:t>Discussion</w:t>
      </w:r>
    </w:p>
    <w:p w14:paraId="38BF97EE" w14:textId="77777777" w:rsidR="003F0E22"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as it is rooted in the idea that total production, and consequently system-level maximum sustainable yield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we attempt to differentiate population processes from noise and bias introduced by surveys of fish populations. The overall structure of the model allows species-specific dynamics to be captured while avoiding the assumption that the dynamics of each species is isolated and independent from other species sharing the same space and potentially competing for the same resources.</w:t>
      </w:r>
    </w:p>
    <w:p w14:paraId="29344EE4" w14:textId="77777777" w:rsidR="003F0E22" w:rsidRDefault="00000000">
      <w:pPr>
        <w:pStyle w:val="BodyText"/>
      </w:pPr>
      <w:r>
        <w:t>Our case study focuses on the population dynamics of commercially important demersal fish stocks off the east coast of Canada. This is an interesting case since most stocks in the area collapsed in the early 1990s (</w:t>
      </w:r>
      <w:hyperlink w:anchor="ref-lear1998">
        <w:r>
          <w:rPr>
            <w:rStyle w:val="Hyperlink"/>
          </w:rPr>
          <w:t>Lear, 1998</w:t>
        </w:r>
      </w:hyperlink>
      <w:r>
        <w:t xml:space="preserve">), and the relative contribution of fishing and </w:t>
      </w:r>
      <w:r>
        <w:lastRenderedPageBreak/>
        <w:t>environmental impacts has been highly debated (</w:t>
      </w:r>
      <w:hyperlink w:anchor="ref-pedersen2017">
        <w:r>
          <w:rPr>
            <w:rStyle w:val="Hyperlink"/>
          </w:rPr>
          <w:t>Pedersen et al., 2017</w:t>
        </w:r>
      </w:hyperlink>
      <w:r>
        <w:t xml:space="preserve">). We attempt to disentangle the impacts of fishing from environmental effects using our multispecies production model and, in doing so, we provide empirical evidence that environmental factors played a non-negligible role in the changes observed in the region. The focal species within each model all occupy the same ecosystem production unit and </w:t>
      </w:r>
      <w:commentRangeStart w:id="41"/>
      <w:r>
        <w:t xml:space="preserve">ultimately compete for the same resources </w:t>
      </w:r>
      <w:commentRangeEnd w:id="41"/>
      <w:r w:rsidR="002F439B">
        <w:rPr>
          <w:rStyle w:val="CommentReference"/>
        </w:rPr>
        <w:commentReference w:id="41"/>
      </w:r>
      <w:r>
        <w:t>(</w:t>
      </w:r>
      <w:hyperlink w:anchor="ref-pepin2014">
        <w:r>
          <w:rPr>
            <w:rStyle w:val="Hyperlink"/>
          </w:rPr>
          <w:t>Pepin et al., 2014</w:t>
        </w:r>
      </w:hyperlink>
      <w:r>
        <w:t xml:space="preserve">). It follows that total production at upper trophic levels should be limited by a regions’ finite resources, which is evidenced in our case study by the general support for models that impose a system-level carrying capacity. Beyond this,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This is supported by species-specific studies on capelin (</w:t>
      </w:r>
      <w:r>
        <w:rPr>
          <w:i/>
          <w:iCs/>
        </w:rPr>
        <w:t>Mallotus villosus</w:t>
      </w:r>
      <w:r>
        <w:t xml:space="preserve">) and Atlantic cod in the region which highlight the influence of bottom-up drivers (e.g., </w:t>
      </w:r>
      <w:hyperlink w:anchor="ref-buren2014a">
        <w:r>
          <w:rPr>
            <w:rStyle w:val="Hyperlink"/>
          </w:rPr>
          <w:t>Buren, Koen-Alonso, &amp; Stenson, 2014</w:t>
        </w:r>
      </w:hyperlink>
      <w:r>
        <w:t xml:space="preserve">; </w:t>
      </w:r>
      <w:hyperlink w:anchor="ref-buren2014b">
        <w:r>
          <w:rPr>
            <w:rStyle w:val="Hyperlink"/>
          </w:rPr>
          <w:t>Buren, Koen-Alonso, Pepin, et al., 2014</w:t>
        </w:r>
      </w:hyperlink>
      <w:r>
        <w:t xml:space="preserve">; </w:t>
      </w:r>
      <w:hyperlink w:anchor="ref-koen2021">
        <w:r>
          <w:rPr>
            <w:rStyle w:val="Hyperlink"/>
          </w:rPr>
          <w:t>Koen-Alonso et al., 2021</w:t>
        </w:r>
      </w:hyperlink>
      <w:r>
        <w:t xml:space="preserve">; </w:t>
      </w:r>
      <w:hyperlink w:anchor="ref-regular2022">
        <w:r>
          <w:rPr>
            <w:rStyle w:val="Hyperlink"/>
          </w:rPr>
          <w:t>Regular et al., 2022</w:t>
        </w:r>
      </w:hyperlink>
      <w:r>
        <w:t>). Taken together, evidence is mounting that fishing was not the sole cause of the collapses observed in the early 1990s.</w:t>
      </w:r>
    </w:p>
    <w:p w14:paraId="56C35AF7" w14:textId="3437F567" w:rsidR="003F0E22" w:rsidRDefault="00000000">
      <w:pPr>
        <w:pStyle w:val="BodyText"/>
      </w:pPr>
      <w:commentRangeStart w:id="42"/>
      <w:r>
        <w:t xml:space="preserve">Our inference that environmental factors were a key driver of stock collapses was unexpected given the prevailing hypothesis is that fishing activity was the primary driver (e.g., </w:t>
      </w:r>
      <w:hyperlink w:anchor="ref-gomes1995">
        <w:r>
          <w:rPr>
            <w:rStyle w:val="Hyperlink"/>
          </w:rPr>
          <w:t>Gomes et al., 1995</w:t>
        </w:r>
      </w:hyperlink>
      <w:r>
        <w:t xml:space="preserve">; </w:t>
      </w:r>
      <w:hyperlink w:anchor="ref-hutchings1996">
        <w:r>
          <w:rPr>
            <w:rStyle w:val="Hyperlink"/>
          </w:rPr>
          <w:t>Hutchings, 1996</w:t>
        </w:r>
      </w:hyperlink>
      <w:r>
        <w:t xml:space="preserve">; but see </w:t>
      </w:r>
      <w:hyperlink w:anchor="ref-morgan2002">
        <w:r>
          <w:rPr>
            <w:rStyle w:val="Hyperlink"/>
          </w:rPr>
          <w:t>Morgan et al., 2002</w:t>
        </w:r>
      </w:hyperlink>
      <w:r>
        <w:t xml:space="preserve">). </w:t>
      </w:r>
      <w:commentRangeEnd w:id="42"/>
      <w:r w:rsidR="00005C55">
        <w:rPr>
          <w:rStyle w:val="CommentReference"/>
        </w:rPr>
        <w:commentReference w:id="42"/>
      </w:r>
      <w:r>
        <w:t xml:space="preserve">Since our model utilizes </w:t>
      </w:r>
      <w:r>
        <w:rPr>
          <w:i/>
          <w:iCs/>
        </w:rPr>
        <w:t>reported</w:t>
      </w:r>
      <w:r>
        <w:t xml:space="preserve"> fisheries landings, a portion of these losses may be attributed to illegal fishing activity. However, it seems unlikely that the industry had the capacity to covertly exceed typical reported annual catches in the late 1980s</w:t>
      </w:r>
      <w:ins w:id="43" w:author="Rideout, Rick" w:date="2023-12-03T23:12:00Z">
        <w:r w:rsidR="00005C55">
          <w:t xml:space="preserve"> to the extent</w:t>
        </w:r>
      </w:ins>
      <w:ins w:id="44" w:author="Rideout, Rick" w:date="2023-12-03T23:13:00Z">
        <w:r w:rsidR="00005C55">
          <w:t xml:space="preserve"> needed to match the losses estimated here</w:t>
        </w:r>
      </w:ins>
      <w:r>
        <w:t xml:space="preserve">. For instance, annual catches in the late 1980s across the Northeast NL Shelf and the Grand Bank totaled ~450 kt while residual losses estimated by the model in the early 1990s was ~1000 kt. The fishing </w:t>
      </w:r>
      <w:r>
        <w:lastRenderedPageBreak/>
        <w:t xml:space="preserve">industry would have had to double its efforts to explain the declines. It follows that the decline must at least in part, if not primarily, be due to an unknown environmental driver. This contention is not new (see, for example, </w:t>
      </w:r>
      <w:hyperlink w:anchor="ref-atkinson1994">
        <w:r>
          <w:rPr>
            <w:rStyle w:val="Hyperlink"/>
          </w:rPr>
          <w:t>Atkinson, 1994</w:t>
        </w:r>
      </w:hyperlink>
      <w:r>
        <w:t xml:space="preserve">; </w:t>
      </w:r>
      <w:hyperlink w:anchor="ref-pedersen2017">
        <w:r>
          <w:rPr>
            <w:rStyle w:val="Hyperlink"/>
          </w:rPr>
          <w:t>Pedersen et al., 2017</w:t>
        </w:r>
      </w:hyperlink>
      <w:r>
        <w:t xml:space="preserve">), however, it remains contentious and perplexing as we lack specific causal explanations. While increasingly cold conditions through the 1980s and early 1990s undoubtedly affected the distribution of multiple species </w:t>
      </w:r>
      <w:ins w:id="45" w:author="Rideout, Rick" w:date="2023-12-03T23:19:00Z">
        <w:r w:rsidR="00444274">
          <w:t>(</w:t>
        </w:r>
      </w:ins>
      <w:r>
        <w:t>Robertson et al.</w:t>
      </w:r>
      <w:ins w:id="46" w:author="Rideout, Rick" w:date="2023-12-03T23:19:00Z">
        <w:r w:rsidR="00444274">
          <w:t>,</w:t>
        </w:r>
      </w:ins>
      <w:r>
        <w:t xml:space="preserve"> </w:t>
      </w:r>
      <w:del w:id="47" w:author="Rideout, Rick" w:date="2023-12-03T23:19:00Z">
        <w:r w:rsidDel="00444274">
          <w:delText>(</w:delText>
        </w:r>
      </w:del>
      <w:hyperlink w:anchor="ref-robertson2021">
        <w:r>
          <w:rPr>
            <w:rStyle w:val="Hyperlink"/>
          </w:rPr>
          <w:t>2</w:t>
        </w:r>
        <w:r>
          <w:rPr>
            <w:rStyle w:val="Hyperlink"/>
          </w:rPr>
          <w:t>0</w:t>
        </w:r>
        <w:r>
          <w:rPr>
            <w:rStyle w:val="Hyperlink"/>
          </w:rPr>
          <w:t>21</w:t>
        </w:r>
      </w:hyperlink>
      <w:r>
        <w:t>), it is not yet clear whether shifting temperatures was the primary driver of the collapse and, if it was, the causal pathway has yet to be determined.</w:t>
      </w:r>
    </w:p>
    <w:p w14:paraId="1F85A347" w14:textId="77777777" w:rsidR="003F0E22"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r>
        <w:rPr>
          <w:i/>
          <w:iCs/>
        </w:rPr>
        <w:t>sensu</w:t>
      </w:r>
      <w:r>
        <w:t xml:space="preserve"> the portfolio effect, </w:t>
      </w:r>
      <w:hyperlink w:anchor="ref-schindler2010">
        <w:r>
          <w:rPr>
            <w:rStyle w:val="Hyperlink"/>
          </w:rPr>
          <w:t>Schindler et al., 2010</w:t>
        </w:r>
      </w:hyperlink>
      <w:r>
        <w:t>). Still, it is curious that heavily exploited species like Atlantic cod show no signs of change or loss of genetic diversity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2">
        <w:r>
          <w:rPr>
            <w:rStyle w:val="Hyperlink"/>
          </w:rPr>
          <w:t>Regular et al., 2022</w:t>
        </w:r>
      </w:hyperlink>
      <w:r>
        <w:t>) and perhaps other piscivorous species that rely on capelin. Shrimp are an important prey item for redfish species (</w:t>
      </w:r>
      <w:hyperlink w:anchor="ref-brown2022">
        <w:r>
          <w:rPr>
            <w:rStyle w:val="Hyperlink"/>
          </w:rPr>
          <w:t>Brown-Vuillemin et al., 2022</w:t>
        </w:r>
      </w:hyperlink>
      <w:r>
        <w:t xml:space="preserve">), so it is possible that the increasing shrimp population helped support concurrent recruitment pulses of redfish. We admit </w:t>
      </w:r>
      <w:r>
        <w:lastRenderedPageBreak/>
        <w:t>that this conjecture is highly speculative; however, we add it as a simple example of how bottom-up forces may be driving the observed changes in the community. The reality is obviously more complex and the observed restructuring of the communities may be akin to the “paradox of plankton” where the 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64D5A3B2" w14:textId="77777777" w:rsidR="003F0E22" w:rsidRDefault="00000000">
      <w:pPr>
        <w:pStyle w:val="BodyText"/>
      </w:pPr>
      <w:r>
        <w:t>Like all models, our multispecies production model is an imperfect abstraction of nature and while it may be useful in some contexts, it is important to consider its limitations when interpreting results. First, it is important to remember that there may be a spatial mismatch in the structure and function of the populations included in this study as some stock boundaries differ from the regions used in this study. For instance, Atlantic cod in NAFO divisions 2J3KL are considered a separate stock from cod in divisions 3NO (</w:t>
      </w:r>
      <w:hyperlink w:anchor="ref-templeman1962">
        <w:r>
          <w:rPr>
            <w:rStyle w:val="Hyperlink"/>
          </w:rPr>
          <w:t>Templeman, 1962</w:t>
        </w:r>
      </w:hyperlink>
      <w:r>
        <w:t>) and here we split 2J3K (Northeast NL Shelf) and 3LNO (Grand Bank) into distinct regions. Assuming that our results are comparable to previous results, it is peculiar that they indicate that total biomass in the Northeast NL Shelf production unit was above the carrying capacity of that region in the early 1990s. This finding contradicts historic records that suggest populations such as Atlantic cod in 2J3KL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Still, it is possible that the 1970s represents a period of unusually high productivity, where the system may have exceeded the carrying capacity.</w:t>
      </w:r>
    </w:p>
    <w:p w14:paraId="72F5D9C0" w14:textId="77777777" w:rsidR="003F0E22" w:rsidRDefault="00000000">
      <w:pPr>
        <w:pStyle w:val="BodyText"/>
      </w:pPr>
      <w:r>
        <w:t>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benthic community seems unrealistic. This </w:t>
      </w:r>
      <w:r>
        <w:lastRenderedPageBreak/>
        <w:t>result may be an artifact of low estimates of survey catchability or the model’s inability to properly account for year effects. Observation errors are assumed to be lognormally distributed, however, extreme catch events / black swan events in space can introduce ‘year effects’ that may be better accounted for by assuming a distribution with heavier tails, such as the t-distribution (</w:t>
      </w:r>
      <w:hyperlink w:anchor="ref-anderson2019">
        <w:r>
          <w:rPr>
            <w:rStyle w:val="Hyperlink"/>
          </w:rPr>
          <w:t>Anderson &amp; Ward, 2019</w:t>
        </w:r>
      </w:hyperlink>
      <w:r>
        <w:t>).</w:t>
      </w:r>
    </w:p>
    <w:p w14:paraId="5CAF7EC7" w14:textId="77777777" w:rsidR="003F0E22" w:rsidRDefault="00000000">
      <w:pPr>
        <w:pStyle w:val="Heading2"/>
      </w:pPr>
      <w:bookmarkStart w:id="48" w:name="conclusion"/>
      <w:r>
        <w:t>Conclusion</w:t>
      </w:r>
    </w:p>
    <w:p w14:paraId="539F8503" w14:textId="22E8B442" w:rsidR="003F0E22" w:rsidRDefault="00000000">
      <w:pPr>
        <w:pStyle w:val="FirstParagraph"/>
      </w:pPr>
      <w:r>
        <w:t xml:space="preserve">Practitioners are becoming increasingly aware of the need to apply an ecosystem based fisheries management (EBFM; </w:t>
      </w:r>
      <w:hyperlink w:anchor="ref-pikitch2004">
        <w:r>
          <w:rPr>
            <w:rStyle w:val="Hyperlink"/>
          </w:rPr>
          <w:t>Pikitch et al., 2004</w:t>
        </w:r>
      </w:hyperlink>
      <w:r>
        <w:t>). A robust understanding of the interactions of multiple species with each other and their environment is a critical prerequisite for advancing a EBFM. There are multiple analytical</w:t>
      </w:r>
      <w:del w:id="49" w:author="Rideout, Rick" w:date="2023-12-03T23:38:00Z">
        <w:r w:rsidDel="00B66605">
          <w:delText>ly</w:delText>
        </w:r>
      </w:del>
      <w:r>
        <w:t xml:space="preserve"> pathways to support such management, however, data requirements are often prohibitive (</w:t>
      </w:r>
      <w:hyperlink w:anchor="ref-latour2003">
        <w:r>
          <w:rPr>
            <w:rStyle w:val="Hyperlink"/>
          </w:rPr>
          <w:t>Latour et al., 2003</w:t>
        </w:r>
      </w:hyperlink>
      <w:r>
        <w:t xml:space="preserve">). Our study documents a production model that can estimate the population dynamics of multiple stocks using commonly available landings and survey </w:t>
      </w:r>
      <w:del w:id="50" w:author="Rideout, Rick" w:date="2023-12-03T23:39:00Z">
        <w:r w:rsidDel="00B66605">
          <w:delText xml:space="preserve">index </w:delText>
        </w:r>
      </w:del>
      <w:r>
        <w:t>data. This approach enables the estimation of multispecies trends and provides an avenue for producing species-specific projections conditioned on recent community dynamics. As such, it may serve as a relatively tractable method for informing management decisions for multiple species occupying the same region. While our model has limitations, it represents a step forward in understanding the complex interactions among species in marine ecosystems and provides a framework for supporting sustainable management decisions.</w:t>
      </w:r>
    </w:p>
    <w:p w14:paraId="29BEB36F" w14:textId="77777777" w:rsidR="003F0E22" w:rsidRDefault="00000000">
      <w:pPr>
        <w:pStyle w:val="Heading1"/>
      </w:pPr>
      <w:bookmarkStart w:id="51" w:name="acknowledgements"/>
      <w:bookmarkEnd w:id="40"/>
      <w:bookmarkEnd w:id="48"/>
      <w:r>
        <w:t>Acknowledgements</w:t>
      </w:r>
    </w:p>
    <w:p w14:paraId="13F68005" w14:textId="77777777" w:rsidR="003F0E22" w:rsidRDefault="00000000">
      <w:pPr>
        <w:pStyle w:val="FirstParagraph"/>
      </w:pPr>
      <w:r>
        <w:t xml:space="preserve">We thank the many ship’s crew and research staff involved in leading the surveys and collecting the data used in this study. These surveys were supported by Fisheries and Oceans Canada </w:t>
      </w:r>
      <w:r>
        <w:lastRenderedPageBreak/>
        <w:t>(DFO). This work has benefited from valuable feedback from numerous colleagues, including ____________. An earlier draft version of the abstract, introduction, and discussion sections were written with the assistance of ChatGPT (March 14, 2023 version).</w:t>
      </w:r>
    </w:p>
    <w:p w14:paraId="7299F95C" w14:textId="77777777" w:rsidR="003F0E22" w:rsidRDefault="00000000">
      <w:pPr>
        <w:pStyle w:val="Heading1"/>
      </w:pPr>
      <w:bookmarkStart w:id="52" w:name="references"/>
      <w:bookmarkEnd w:id="51"/>
      <w:r>
        <w:t>References</w:t>
      </w:r>
    </w:p>
    <w:p w14:paraId="18002B72" w14:textId="77777777" w:rsidR="003F0E22" w:rsidRDefault="00000000">
      <w:pPr>
        <w:pStyle w:val="Bibliography"/>
      </w:pPr>
      <w:bookmarkStart w:id="53" w:name="ref-albertsen2018"/>
      <w:bookmarkStart w:id="54"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598F72FA" w14:textId="77777777" w:rsidR="003F0E22" w:rsidRDefault="00000000">
      <w:pPr>
        <w:pStyle w:val="Bibliography"/>
      </w:pPr>
      <w:bookmarkStart w:id="55" w:name="ref-anderson2019"/>
      <w:bookmarkEnd w:id="53"/>
      <w:r>
        <w:t xml:space="preserve">Anderson, S. C., &amp; Ward, E. J. (2019). Black swans in space: Modeling spatiotemporal processes with extremes. </w:t>
      </w:r>
      <w:r>
        <w:rPr>
          <w:i/>
          <w:iCs/>
        </w:rPr>
        <w:t>Ecology</w:t>
      </w:r>
      <w:r>
        <w:t xml:space="preserve">, </w:t>
      </w:r>
      <w:r>
        <w:rPr>
          <w:i/>
          <w:iCs/>
        </w:rPr>
        <w:t>100</w:t>
      </w:r>
      <w:r>
        <w:t>(1), e02403.</w:t>
      </w:r>
    </w:p>
    <w:p w14:paraId="6F3AD45B" w14:textId="77777777" w:rsidR="003F0E22" w:rsidRDefault="00000000">
      <w:pPr>
        <w:pStyle w:val="Bibliography"/>
      </w:pPr>
      <w:bookmarkStart w:id="56" w:name="ref-atkinson1994"/>
      <w:bookmarkEnd w:id="55"/>
      <w:r>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3EF1AAB5" w14:textId="77777777" w:rsidR="003F0E22" w:rsidRDefault="00000000">
      <w:pPr>
        <w:pStyle w:val="Bibliography"/>
      </w:pPr>
      <w:bookmarkStart w:id="57" w:name="ref-brown2022"/>
      <w:bookmarkEnd w:id="56"/>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582EC123" w14:textId="77777777" w:rsidR="003F0E22" w:rsidRDefault="00000000">
      <w:pPr>
        <w:pStyle w:val="Bibliography"/>
      </w:pPr>
      <w:bookmarkStart w:id="58" w:name="ref-bundy2012"/>
      <w:bookmarkEnd w:id="57"/>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14B43E53" w14:textId="77777777" w:rsidR="003F0E22" w:rsidRDefault="00000000">
      <w:pPr>
        <w:pStyle w:val="Bibliography"/>
      </w:pPr>
      <w:bookmarkStart w:id="59" w:name="ref-buren2014b"/>
      <w:bookmarkEnd w:id="58"/>
      <w:r>
        <w:t xml:space="preserve">Buren, A. D., Koen-Alonso, M., Pepin, P., Mowbray, F., Nakashima, B., Stenson, G., Ollerhead, N., &amp; Montevecchi, W. A. (2014). Bottom-up regulation of capelin, a keystone forage species. </w:t>
      </w:r>
      <w:r>
        <w:rPr>
          <w:i/>
          <w:iCs/>
        </w:rPr>
        <w:t>PLoS One</w:t>
      </w:r>
      <w:r>
        <w:t xml:space="preserve">, </w:t>
      </w:r>
      <w:r>
        <w:rPr>
          <w:i/>
          <w:iCs/>
        </w:rPr>
        <w:t>9</w:t>
      </w:r>
      <w:r>
        <w:t>(2), e87589.</w:t>
      </w:r>
    </w:p>
    <w:p w14:paraId="61C7AB20" w14:textId="77777777" w:rsidR="003F0E22" w:rsidRDefault="00000000">
      <w:pPr>
        <w:pStyle w:val="Bibliography"/>
      </w:pPr>
      <w:bookmarkStart w:id="60" w:name="ref-buren2014a"/>
      <w:bookmarkEnd w:id="59"/>
      <w:r>
        <w:lastRenderedPageBreak/>
        <w:t xml:space="preserve">Buren, A. D., Koen-Alonso, M., &amp; Stenson, G. B. (2014). The role of harp seals, fisheries and food availability in driving the dynamics of northern cod. </w:t>
      </w:r>
      <w:r>
        <w:rPr>
          <w:i/>
          <w:iCs/>
        </w:rPr>
        <w:t>Marine Ecology Progress Series</w:t>
      </w:r>
      <w:r>
        <w:t xml:space="preserve">, </w:t>
      </w:r>
      <w:r>
        <w:rPr>
          <w:i/>
          <w:iCs/>
        </w:rPr>
        <w:t>511</w:t>
      </w:r>
      <w:r>
        <w:t>, 265–284.</w:t>
      </w:r>
    </w:p>
    <w:p w14:paraId="43FCD493" w14:textId="77777777" w:rsidR="003F0E22" w:rsidRDefault="00000000">
      <w:pPr>
        <w:pStyle w:val="Bibliography"/>
      </w:pPr>
      <w:bookmarkStart w:id="61" w:name="ref-cadigan2015"/>
      <w:bookmarkEnd w:id="60"/>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5573DF19" w14:textId="77777777" w:rsidR="003F0E22" w:rsidRDefault="00000000">
      <w:pPr>
        <w:pStyle w:val="Bibliography"/>
      </w:pPr>
      <w:bookmarkStart w:id="62" w:name="ref-cadigan2022"/>
      <w:bookmarkEnd w:id="61"/>
      <w:r>
        <w:t xml:space="preserve">Cadigan, N. G., Duplisea, D. E., Senay, C., Parent, G. J., Winger, P. D., Linton, B., &amp; Kristinsson, K. (2022). Northwest Atlantic redfish science priorities for managing an enigmatic species complex. </w:t>
      </w:r>
      <w:r>
        <w:rPr>
          <w:i/>
          <w:iCs/>
        </w:rPr>
        <w:t>Canadian Journal of Fisheries and Aquatic Sciences</w:t>
      </w:r>
      <w:r>
        <w:t xml:space="preserve">, </w:t>
      </w:r>
      <w:r>
        <w:rPr>
          <w:i/>
          <w:iCs/>
        </w:rPr>
        <w:t>79</w:t>
      </w:r>
      <w:r>
        <w:t>(9), 1572–1589.</w:t>
      </w:r>
    </w:p>
    <w:p w14:paraId="594297CC" w14:textId="77777777" w:rsidR="003F0E22" w:rsidRDefault="00000000">
      <w:pPr>
        <w:pStyle w:val="Bibliography"/>
      </w:pPr>
      <w:bookmarkStart w:id="63" w:name="ref-chadwick2007"/>
      <w:bookmarkEnd w:id="62"/>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6AC66584" w14:textId="77777777" w:rsidR="003F0E22" w:rsidRDefault="00000000">
      <w:pPr>
        <w:pStyle w:val="Bibliography"/>
      </w:pPr>
      <w:bookmarkStart w:id="64" w:name="ref-chapman2018"/>
      <w:bookmarkEnd w:id="63"/>
      <w:r>
        <w:t xml:space="preserve">Chapman, E. J., &amp; Byron, C. J. (2018). The flexible application of carrying capacity in ecology. </w:t>
      </w:r>
      <w:r>
        <w:rPr>
          <w:i/>
          <w:iCs/>
        </w:rPr>
        <w:t>Global Ecology and Conservation</w:t>
      </w:r>
      <w:r>
        <w:t xml:space="preserve">, </w:t>
      </w:r>
      <w:r>
        <w:rPr>
          <w:i/>
          <w:iCs/>
        </w:rPr>
        <w:t>13</w:t>
      </w:r>
      <w:r>
        <w:t>, e00365.</w:t>
      </w:r>
    </w:p>
    <w:p w14:paraId="5831752F" w14:textId="77777777" w:rsidR="003F0E22" w:rsidRDefault="00000000">
      <w:pPr>
        <w:pStyle w:val="Bibliography"/>
      </w:pPr>
      <w:bookmarkStart w:id="65" w:name="ref-dawe2012"/>
      <w:bookmarkEnd w:id="64"/>
      <w:r>
        <w:t xml:space="preserve">Dawe, E., Koen-Alonso, M., Chabot, D., Stansbury, D., &amp; Mullowney, D. (2012). Trophic interactions between key predatory fishes and crustaceans: Comparison of two northwest atlantic systems during a period of ecosystem change. </w:t>
      </w:r>
      <w:r>
        <w:rPr>
          <w:i/>
          <w:iCs/>
        </w:rPr>
        <w:t>Marine Ecology Progress Series</w:t>
      </w:r>
      <w:r>
        <w:t xml:space="preserve">, </w:t>
      </w:r>
      <w:r>
        <w:rPr>
          <w:i/>
          <w:iCs/>
        </w:rPr>
        <w:t>469</w:t>
      </w:r>
      <w:r>
        <w:t>, 233–248.</w:t>
      </w:r>
    </w:p>
    <w:p w14:paraId="7C696C34" w14:textId="77777777" w:rsidR="003F0E22" w:rsidRDefault="00000000">
      <w:pPr>
        <w:pStyle w:val="Bibliography"/>
      </w:pPr>
      <w:bookmarkStart w:id="66" w:name="ref-del2004"/>
      <w:bookmarkEnd w:id="65"/>
      <w:r>
        <w:t xml:space="preserve">Del Monte-Luna, P., Brook, B. W., Zetina-Rejón, M. J., &amp; Cruz-Escalona, V. H. (2004). The carrying capacity of ecosystems. </w:t>
      </w:r>
      <w:r>
        <w:rPr>
          <w:i/>
          <w:iCs/>
        </w:rPr>
        <w:t>Global Ecology and Biogeography</w:t>
      </w:r>
      <w:r>
        <w:t xml:space="preserve">, </w:t>
      </w:r>
      <w:r>
        <w:rPr>
          <w:i/>
          <w:iCs/>
        </w:rPr>
        <w:t>13</w:t>
      </w:r>
      <w:r>
        <w:t>(6), 485–495.</w:t>
      </w:r>
    </w:p>
    <w:p w14:paraId="736908D0" w14:textId="77777777" w:rsidR="003F0E22" w:rsidRDefault="00000000">
      <w:pPr>
        <w:pStyle w:val="Bibliography"/>
      </w:pPr>
      <w:bookmarkStart w:id="67" w:name="ref-fogarty2012"/>
      <w:bookmarkEnd w:id="66"/>
      <w:r>
        <w:lastRenderedPageBreak/>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1F841291" w14:textId="77777777" w:rsidR="003F0E22" w:rsidRDefault="00000000">
      <w:pPr>
        <w:pStyle w:val="Bibliography"/>
      </w:pPr>
      <w:bookmarkStart w:id="68" w:name="ref-froese2017"/>
      <w:bookmarkEnd w:id="67"/>
      <w:r>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28C91A05" w14:textId="77777777" w:rsidR="003F0E22" w:rsidRDefault="00000000">
      <w:pPr>
        <w:pStyle w:val="Bibliography"/>
      </w:pPr>
      <w:bookmarkStart w:id="69" w:name="ref-fulton2011"/>
      <w:bookmarkEnd w:id="68"/>
      <w:r>
        <w:t xml:space="preserve">Fulton, E. A., Link, J. S., Kaplan, I. C., Savina-Rolland, M., Johnson, P., Ainsworth, C., Horne, P., Gorton, R., Gamble, R. J., Smith, A. D., et al. (2011). Lessons in modelling and management of marine ecosystems: The atlantis experience. </w:t>
      </w:r>
      <w:r>
        <w:rPr>
          <w:i/>
          <w:iCs/>
        </w:rPr>
        <w:t>Fish and Fisheries</w:t>
      </w:r>
      <w:r>
        <w:t xml:space="preserve">, </w:t>
      </w:r>
      <w:r>
        <w:rPr>
          <w:i/>
          <w:iCs/>
        </w:rPr>
        <w:t>12</w:t>
      </w:r>
      <w:r>
        <w:t>(2), 171–188.</w:t>
      </w:r>
    </w:p>
    <w:p w14:paraId="45F80762" w14:textId="77777777" w:rsidR="003F0E22" w:rsidRDefault="00000000">
      <w:pPr>
        <w:pStyle w:val="Bibliography"/>
      </w:pPr>
      <w:bookmarkStart w:id="70" w:name="ref-gamble2009"/>
      <w:bookmarkEnd w:id="69"/>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57402513" w14:textId="77777777" w:rsidR="003F0E22" w:rsidRDefault="00000000">
      <w:pPr>
        <w:pStyle w:val="Bibliography"/>
      </w:pPr>
      <w:bookmarkStart w:id="71" w:name="ref-gomes1995"/>
      <w:bookmarkEnd w:id="70"/>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52DB2803" w14:textId="77777777" w:rsidR="003F0E22" w:rsidRDefault="00000000">
      <w:pPr>
        <w:pStyle w:val="Bibliography"/>
      </w:pPr>
      <w:bookmarkStart w:id="72" w:name="ref-hilborn1995"/>
      <w:bookmarkEnd w:id="71"/>
      <w:r>
        <w:t xml:space="preserve">Hilborn, R., Walters, C. J., &amp; Ludwig, D. (1995). Sustainable exploitation of renewable resources. </w:t>
      </w:r>
      <w:r>
        <w:rPr>
          <w:i/>
          <w:iCs/>
        </w:rPr>
        <w:t>Annual Review of Ecology and Systematics</w:t>
      </w:r>
      <w:r>
        <w:t xml:space="preserve">, </w:t>
      </w:r>
      <w:r>
        <w:rPr>
          <w:i/>
          <w:iCs/>
        </w:rPr>
        <w:t>26</w:t>
      </w:r>
      <w:r>
        <w:t>(1), 45–67.</w:t>
      </w:r>
    </w:p>
    <w:p w14:paraId="3C9ADA53" w14:textId="77777777" w:rsidR="003F0E22" w:rsidRDefault="00000000">
      <w:pPr>
        <w:pStyle w:val="Bibliography"/>
      </w:pPr>
      <w:bookmarkStart w:id="73" w:name="ref-hutchings1996"/>
      <w:bookmarkEnd w:id="72"/>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1BB676D3" w14:textId="77777777" w:rsidR="003F0E22" w:rsidRDefault="00000000">
      <w:pPr>
        <w:pStyle w:val="Bibliography"/>
      </w:pPr>
      <w:bookmarkStart w:id="74" w:name="ref-hutchings2021"/>
      <w:bookmarkEnd w:id="73"/>
      <w:r>
        <w:lastRenderedPageBreak/>
        <w:t xml:space="preserve">Hutchings, J. A. (2021). </w:t>
      </w:r>
      <w:r>
        <w:rPr>
          <w:i/>
          <w:iCs/>
        </w:rPr>
        <w:t>A primer of life histories: Ecology, evolution, and application</w:t>
      </w:r>
      <w:r>
        <w:t>. Oxford University Press.</w:t>
      </w:r>
    </w:p>
    <w:p w14:paraId="41F939DE" w14:textId="77777777" w:rsidR="003F0E22" w:rsidRDefault="00000000">
      <w:pPr>
        <w:pStyle w:val="Bibliography"/>
      </w:pPr>
      <w:bookmarkStart w:id="75" w:name="ref-kell2016"/>
      <w:bookmarkEnd w:id="74"/>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112DE2DA" w14:textId="77777777" w:rsidR="003F0E22" w:rsidRDefault="00000000">
      <w:pPr>
        <w:pStyle w:val="Bibliography"/>
      </w:pPr>
      <w:bookmarkStart w:id="76" w:name="ref-koen2021"/>
      <w:bookmarkEnd w:id="75"/>
      <w:r>
        <w:t xml:space="preserve">Koen-Alonso, M., Lindstrøm, U., &amp; Cuff, A. (2021). Comparative modeling of cod-capelin dynamics in the newfoundland-labrador shelves and barents sea ecosystems. </w:t>
      </w:r>
      <w:r>
        <w:rPr>
          <w:i/>
          <w:iCs/>
        </w:rPr>
        <w:t>Frontiers in Marine Science</w:t>
      </w:r>
      <w:r>
        <w:t xml:space="preserve">, </w:t>
      </w:r>
      <w:r>
        <w:rPr>
          <w:i/>
          <w:iCs/>
        </w:rPr>
        <w:t>8</w:t>
      </w:r>
      <w:r>
        <w:t>, 579946.</w:t>
      </w:r>
    </w:p>
    <w:p w14:paraId="28647992" w14:textId="77777777" w:rsidR="003F0E22" w:rsidRDefault="00000000">
      <w:pPr>
        <w:pStyle w:val="Bibliography"/>
      </w:pPr>
      <w:bookmarkStart w:id="77" w:name="ref-kristensen2015"/>
      <w:bookmarkEnd w:id="76"/>
      <w:r>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13">
        <w:r>
          <w:rPr>
            <w:rStyle w:val="Hyperlink"/>
          </w:rPr>
          <w:t>https://doi.org/10.18637/jss.v070.i05</w:t>
        </w:r>
      </w:hyperlink>
    </w:p>
    <w:p w14:paraId="3198AE9B" w14:textId="77777777" w:rsidR="003F0E22" w:rsidRDefault="00000000">
      <w:pPr>
        <w:pStyle w:val="Bibliography"/>
      </w:pPr>
      <w:bookmarkStart w:id="78" w:name="ref-latour2003"/>
      <w:bookmarkEnd w:id="77"/>
      <w:r>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496F3E9C" w14:textId="77777777" w:rsidR="003F0E22" w:rsidRDefault="00000000">
      <w:pPr>
        <w:pStyle w:val="Bibliography"/>
      </w:pPr>
      <w:bookmarkStart w:id="79" w:name="ref-lear1998"/>
      <w:bookmarkEnd w:id="78"/>
      <w:r>
        <w:t xml:space="preserve">Lear, W. H. (1998). History of fisheries in the northwest atlantic: The 500-year perspective. </w:t>
      </w:r>
      <w:r>
        <w:rPr>
          <w:i/>
          <w:iCs/>
        </w:rPr>
        <w:t>Journal of Northwest Atlantic Fishery Science</w:t>
      </w:r>
      <w:r>
        <w:t xml:space="preserve">, </w:t>
      </w:r>
      <w:r>
        <w:rPr>
          <w:i/>
          <w:iCs/>
        </w:rPr>
        <w:t>23</w:t>
      </w:r>
      <w:r>
        <w:t>.</w:t>
      </w:r>
    </w:p>
    <w:p w14:paraId="4BC1B964" w14:textId="77777777" w:rsidR="003F0E22" w:rsidRDefault="00000000">
      <w:pPr>
        <w:pStyle w:val="Bibliography"/>
      </w:pPr>
      <w:bookmarkStart w:id="80" w:name="ref-licandeo2020"/>
      <w:bookmarkEnd w:id="79"/>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61F21F8C" w14:textId="77777777" w:rsidR="003F0E22" w:rsidRDefault="00000000">
      <w:pPr>
        <w:pStyle w:val="Bibliography"/>
      </w:pPr>
      <w:bookmarkStart w:id="81" w:name="ref-link2019"/>
      <w:bookmarkEnd w:id="80"/>
      <w:r>
        <w:t xml:space="preserve">Link, J., &amp; Sherwood, G. (2019). Feeding, growth, and trophic ecology. In G. A. Rose (Ed.), </w:t>
      </w:r>
      <w:r>
        <w:rPr>
          <w:i/>
          <w:iCs/>
        </w:rPr>
        <w:t>Atlantic cod: A bio-ecology</w:t>
      </w:r>
      <w:r>
        <w:t xml:space="preserve"> (pp. 219–286). John Wiley &amp; Sons.</w:t>
      </w:r>
    </w:p>
    <w:p w14:paraId="20B11F1E" w14:textId="77777777" w:rsidR="003F0E22" w:rsidRDefault="00000000">
      <w:pPr>
        <w:pStyle w:val="Bibliography"/>
      </w:pPr>
      <w:bookmarkStart w:id="82" w:name="ref-lotka1925"/>
      <w:bookmarkEnd w:id="81"/>
      <w:r>
        <w:t xml:space="preserve">Lotka, A. J. (1925). </w:t>
      </w:r>
      <w:r>
        <w:rPr>
          <w:i/>
          <w:iCs/>
        </w:rPr>
        <w:t>Elements of physical biology</w:t>
      </w:r>
      <w:r>
        <w:t>. Williams &amp; Wilkins.</w:t>
      </w:r>
    </w:p>
    <w:p w14:paraId="460392E5" w14:textId="77777777" w:rsidR="003F0E22" w:rsidRDefault="00000000">
      <w:pPr>
        <w:pStyle w:val="Bibliography"/>
      </w:pPr>
      <w:bookmarkStart w:id="83" w:name="ref-millar2000"/>
      <w:bookmarkEnd w:id="82"/>
      <w:r>
        <w:lastRenderedPageBreak/>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12274298" w14:textId="77777777" w:rsidR="003F0E22" w:rsidRDefault="00000000">
      <w:pPr>
        <w:pStyle w:val="Bibliography"/>
      </w:pPr>
      <w:bookmarkStart w:id="84" w:name="ref-montevecchi1997"/>
      <w:bookmarkEnd w:id="83"/>
      <w:r>
        <w:t xml:space="preserve">Montevecchi, W., &amp; Myers, R. (1997). Centurial and decadal oceanographic influences on changes in northern gannet populations and diets in the north-west atlantic: Implications for climate change. </w:t>
      </w:r>
      <w:r>
        <w:rPr>
          <w:i/>
          <w:iCs/>
        </w:rPr>
        <w:t>ICES Journal of Marine Science</w:t>
      </w:r>
      <w:r>
        <w:t xml:space="preserve">, </w:t>
      </w:r>
      <w:r>
        <w:rPr>
          <w:i/>
          <w:iCs/>
        </w:rPr>
        <w:t>54</w:t>
      </w:r>
      <w:r>
        <w:t>(4), 608–614.</w:t>
      </w:r>
    </w:p>
    <w:p w14:paraId="07328E2D" w14:textId="77777777" w:rsidR="003F0E22" w:rsidRDefault="00000000">
      <w:pPr>
        <w:pStyle w:val="Bibliography"/>
      </w:pPr>
      <w:bookmarkStart w:id="85" w:name="ref-morgan2002"/>
      <w:bookmarkEnd w:id="84"/>
      <w:r>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3984F65E" w14:textId="77777777" w:rsidR="003F0E22" w:rsidRDefault="00000000">
      <w:pPr>
        <w:pStyle w:val="Bibliography"/>
      </w:pPr>
      <w:bookmarkStart w:id="86" w:name="ref-mueter2006"/>
      <w:bookmarkEnd w:id="85"/>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3CEC3975" w14:textId="77777777" w:rsidR="003F0E22" w:rsidRDefault="00000000">
      <w:pPr>
        <w:pStyle w:val="Bibliography"/>
      </w:pPr>
      <w:bookmarkStart w:id="87" w:name="ref-mullowney2014"/>
      <w:bookmarkEnd w:id="86"/>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4D651804" w14:textId="77777777" w:rsidR="003F0E22" w:rsidRPr="00296DB0" w:rsidRDefault="00000000">
      <w:pPr>
        <w:pStyle w:val="Bibliography"/>
        <w:rPr>
          <w:lang w:val="fr-FR"/>
        </w:rPr>
      </w:pPr>
      <w:bookmarkStart w:id="88" w:name="ref-nafo2019"/>
      <w:bookmarkEnd w:id="87"/>
      <w:r>
        <w:t xml:space="preserve">NAFO. (2019). Report of the Scientific Council, 31 May – 13 June 2019, Halifax, Canada. </w:t>
      </w:r>
      <w:r w:rsidRPr="00296DB0">
        <w:rPr>
          <w:i/>
          <w:iCs/>
          <w:lang w:val="fr-FR"/>
        </w:rPr>
        <w:t>NAFO SCS Doc</w:t>
      </w:r>
      <w:r w:rsidRPr="00296DB0">
        <w:rPr>
          <w:lang w:val="fr-FR"/>
        </w:rPr>
        <w:t xml:space="preserve">, </w:t>
      </w:r>
      <w:r w:rsidRPr="00296DB0">
        <w:rPr>
          <w:i/>
          <w:iCs/>
          <w:lang w:val="fr-FR"/>
        </w:rPr>
        <w:t>19/20</w:t>
      </w:r>
      <w:r w:rsidRPr="00296DB0">
        <w:rPr>
          <w:lang w:val="fr-FR"/>
        </w:rPr>
        <w:t xml:space="preserve">. </w:t>
      </w:r>
      <w:hyperlink r:id="rId14">
        <w:r w:rsidRPr="00296DB0">
          <w:rPr>
            <w:rStyle w:val="Hyperlink"/>
            <w:lang w:val="fr-FR"/>
          </w:rPr>
          <w:t>https://www.nafo.int/Portals/0/PDFs/sc/2019/scs19-20.pdf</w:t>
        </w:r>
      </w:hyperlink>
    </w:p>
    <w:p w14:paraId="3A573B7A" w14:textId="77777777" w:rsidR="003F0E22" w:rsidRDefault="00000000">
      <w:pPr>
        <w:pStyle w:val="Bibliography"/>
      </w:pPr>
      <w:bookmarkStart w:id="89" w:name="ref-pauly2021"/>
      <w:bookmarkEnd w:id="88"/>
      <w:r>
        <w:t xml:space="preserve">Pauly, D., &amp; Froese, R. (2021). MSY needs no epitaph—but it was abused. </w:t>
      </w:r>
      <w:r>
        <w:rPr>
          <w:i/>
          <w:iCs/>
        </w:rPr>
        <w:t>ICES Journal of Marine Science</w:t>
      </w:r>
      <w:r>
        <w:t xml:space="preserve">, </w:t>
      </w:r>
      <w:r>
        <w:rPr>
          <w:i/>
          <w:iCs/>
        </w:rPr>
        <w:t>78</w:t>
      </w:r>
      <w:r>
        <w:t>(6), 2204–2210.</w:t>
      </w:r>
    </w:p>
    <w:p w14:paraId="3F9191FC" w14:textId="77777777" w:rsidR="003F0E22" w:rsidRDefault="00000000">
      <w:pPr>
        <w:pStyle w:val="Bibliography"/>
      </w:pPr>
      <w:bookmarkStart w:id="90" w:name="ref-pedersen2017"/>
      <w:bookmarkEnd w:id="89"/>
      <w:r>
        <w:t xml:space="preserve">Pedersen, E. J., Thompson, P. L., Ball, R. A., Fortin, M.-J., Gouhier, T. C., Link, H., Moritz, C., Nenzen, H., Stanley, R. R., Taranu, Z. E., et al. (2017). Signatures of the collapse and </w:t>
      </w:r>
      <w:r>
        <w:lastRenderedPageBreak/>
        <w:t xml:space="preserve">incipient recovery of an overexploited marine ecosystem. </w:t>
      </w:r>
      <w:r>
        <w:rPr>
          <w:i/>
          <w:iCs/>
        </w:rPr>
        <w:t>Royal Society Open Science</w:t>
      </w:r>
      <w:r>
        <w:t xml:space="preserve">, </w:t>
      </w:r>
      <w:r>
        <w:rPr>
          <w:i/>
          <w:iCs/>
        </w:rPr>
        <w:t>4</w:t>
      </w:r>
      <w:r>
        <w:t>(7), 170215.</w:t>
      </w:r>
    </w:p>
    <w:p w14:paraId="4E9A4225" w14:textId="77777777" w:rsidR="003F0E22" w:rsidRDefault="00000000">
      <w:pPr>
        <w:pStyle w:val="Bibliography"/>
      </w:pPr>
      <w:bookmarkStart w:id="91" w:name="ref-pepin2014"/>
      <w:bookmarkEnd w:id="90"/>
      <w:r>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0EE857DE" w14:textId="77777777" w:rsidR="003F0E22" w:rsidRDefault="00000000">
      <w:pPr>
        <w:pStyle w:val="Bibliography"/>
      </w:pPr>
      <w:bookmarkStart w:id="92" w:name="ref-pikitch2004"/>
      <w:bookmarkEnd w:id="91"/>
      <w:r>
        <w:t xml:space="preserve">Pikitch, E. K., Santora, C., Babcock, E. A., Bakun, A., Bonfil, R., Conover, D. O., Dayton, P., Doukakis, P., Fluharty, D., Heneman, B., et al. (2004). Ecosystem-based fishery management. In </w:t>
      </w:r>
      <w:r>
        <w:rPr>
          <w:i/>
          <w:iCs/>
        </w:rPr>
        <w:t>Science</w:t>
      </w:r>
      <w:r>
        <w:t xml:space="preserve"> (5682; Vol. 305, pp. 346–347). American Association for the Advancement of Science.</w:t>
      </w:r>
    </w:p>
    <w:p w14:paraId="027F8BA3" w14:textId="77777777" w:rsidR="003F0E22" w:rsidRDefault="00000000">
      <w:pPr>
        <w:pStyle w:val="Bibliography"/>
      </w:pPr>
      <w:bookmarkStart w:id="93" w:name="ref-pinsky2021"/>
      <w:bookmarkEnd w:id="92"/>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721C913A" w14:textId="77777777" w:rsidR="003F0E22" w:rsidRDefault="00000000">
      <w:pPr>
        <w:pStyle w:val="Bibliography"/>
      </w:pPr>
      <w:bookmarkStart w:id="94" w:name="ref-R"/>
      <w:bookmarkEnd w:id="93"/>
      <w:r>
        <w:t xml:space="preserve">R Core Team. (2021). </w:t>
      </w:r>
      <w:r>
        <w:rPr>
          <w:i/>
          <w:iCs/>
        </w:rPr>
        <w:t>R: A language and environment for statistical computing</w:t>
      </w:r>
      <w:r>
        <w:t xml:space="preserve">. R Foundation for Statistical Computing. </w:t>
      </w:r>
      <w:hyperlink r:id="rId15">
        <w:r>
          <w:rPr>
            <w:rStyle w:val="Hyperlink"/>
          </w:rPr>
          <w:t>https://www.R-project.org/</w:t>
        </w:r>
      </w:hyperlink>
    </w:p>
    <w:p w14:paraId="4CFC53EF" w14:textId="77777777" w:rsidR="003F0E22" w:rsidRDefault="00000000">
      <w:pPr>
        <w:pStyle w:val="Bibliography"/>
      </w:pPr>
      <w:bookmarkStart w:id="95" w:name="ref-regular2022"/>
      <w:bookmarkEnd w:id="94"/>
      <w:r>
        <w:t xml:space="preserve">Regular, P. M., Buren, A. D., Dwyer, K. S., Cadigan, N. G., Gregory, R. S., Koen-Alonso, M., Rideout, R. M., Robertson, G. J., Robertson, M. D., Stenson, G. B., Wheeland, L. J., &amp; Zhang, F. (2022). Indexing starvation mortality to assess its role in the population regulation of northern cod. </w:t>
      </w:r>
      <w:r>
        <w:rPr>
          <w:i/>
          <w:iCs/>
        </w:rPr>
        <w:t>Fisheries Research</w:t>
      </w:r>
      <w:r>
        <w:t xml:space="preserve">, </w:t>
      </w:r>
      <w:r>
        <w:rPr>
          <w:i/>
          <w:iCs/>
        </w:rPr>
        <w:t>247</w:t>
      </w:r>
      <w:r>
        <w:t>, 106180. https://doi.org/</w:t>
      </w:r>
      <w:hyperlink r:id="rId16">
        <w:r>
          <w:rPr>
            <w:rStyle w:val="Hyperlink"/>
          </w:rPr>
          <w:t>https://doi.org/10.1016/j.fishres.2021.106180</w:t>
        </w:r>
      </w:hyperlink>
    </w:p>
    <w:p w14:paraId="072CDDF5" w14:textId="77777777" w:rsidR="003F0E22" w:rsidRDefault="00000000">
      <w:pPr>
        <w:pStyle w:val="Bibliography"/>
      </w:pPr>
      <w:bookmarkStart w:id="96" w:name="ref-robertson2021"/>
      <w:bookmarkEnd w:id="95"/>
      <w:r>
        <w:t xml:space="preserve">Robertson, M., Gao, J., Regular, P., Morgan, M., &amp; Zhang, F. (2021). Lagged recovery of fish spatial distributions following a cold-water perturbation. </w:t>
      </w:r>
      <w:r>
        <w:rPr>
          <w:i/>
          <w:iCs/>
        </w:rPr>
        <w:t>Scientific Reports</w:t>
      </w:r>
      <w:r>
        <w:t xml:space="preserve">, </w:t>
      </w:r>
      <w:r>
        <w:rPr>
          <w:i/>
          <w:iCs/>
        </w:rPr>
        <w:t>11</w:t>
      </w:r>
      <w:r>
        <w:t>(1), 9513.</w:t>
      </w:r>
    </w:p>
    <w:p w14:paraId="5F4BA338" w14:textId="77777777" w:rsidR="003F0E22" w:rsidRDefault="00000000">
      <w:pPr>
        <w:pStyle w:val="Bibliography"/>
      </w:pPr>
      <w:bookmarkStart w:id="97" w:name="ref-rose2004"/>
      <w:bookmarkEnd w:id="96"/>
      <w:r>
        <w:lastRenderedPageBreak/>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73C1836B" w14:textId="77777777" w:rsidR="003F0E22" w:rsidRDefault="00000000">
      <w:pPr>
        <w:pStyle w:val="Bibliography"/>
      </w:pPr>
      <w:bookmarkStart w:id="98" w:name="ref-rose2000"/>
      <w:bookmarkEnd w:id="97"/>
      <w:r>
        <w:t>Rose, G., DeYoung, B., Kulka, D., Goddard, S., &amp; Fletcher, G. (2000). Distribution shifts and overfishing the northern cod (</w:t>
      </w:r>
      <w:r>
        <w:rPr>
          <w:i/>
          <w:iCs/>
        </w:rPr>
        <w:t>gadus morhua</w:t>
      </w:r>
      <w:r>
        <w:t xml:space="preserve">): A view from the ocean. </w:t>
      </w:r>
      <w:r>
        <w:rPr>
          <w:i/>
          <w:iCs/>
        </w:rPr>
        <w:t>Canadian Journal of Fisheries and Aquatic Sciences</w:t>
      </w:r>
      <w:r>
        <w:t xml:space="preserve">, </w:t>
      </w:r>
      <w:r>
        <w:rPr>
          <w:i/>
          <w:iCs/>
        </w:rPr>
        <w:t>57</w:t>
      </w:r>
      <w:r>
        <w:t>(3), 644–663.</w:t>
      </w:r>
    </w:p>
    <w:p w14:paraId="61DB852C" w14:textId="77777777" w:rsidR="003F0E22" w:rsidRDefault="00000000">
      <w:pPr>
        <w:pStyle w:val="Bibliography"/>
      </w:pPr>
      <w:bookmarkStart w:id="99" w:name="ref-schaefer1954"/>
      <w:bookmarkEnd w:id="98"/>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3D90D901" w14:textId="77777777" w:rsidR="003F0E22" w:rsidRDefault="00000000">
      <w:pPr>
        <w:pStyle w:val="Bibliography"/>
      </w:pPr>
      <w:bookmarkStart w:id="100" w:name="ref-scheffer2015"/>
      <w:bookmarkEnd w:id="99"/>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78E1C40A" w14:textId="77777777" w:rsidR="003F0E22" w:rsidRDefault="00000000">
      <w:pPr>
        <w:pStyle w:val="Bibliography"/>
      </w:pPr>
      <w:bookmarkStart w:id="101" w:name="ref-scheffer2003"/>
      <w:bookmarkEnd w:id="100"/>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082ABB2F" w14:textId="77777777" w:rsidR="003F0E22" w:rsidRDefault="00000000">
      <w:pPr>
        <w:pStyle w:val="Bibliography"/>
      </w:pPr>
      <w:bookmarkStart w:id="102" w:name="ref-schijns2021"/>
      <w:bookmarkEnd w:id="101"/>
      <w:r>
        <w:t xml:space="preserve">Schijns, R., Froese, R., Hutchings, J. A., &amp; Pauly, D. (2021). Five centuries of cod catches in eastern canada. </w:t>
      </w:r>
      <w:r>
        <w:rPr>
          <w:i/>
          <w:iCs/>
        </w:rPr>
        <w:t>ICES Journal of Marine Science</w:t>
      </w:r>
      <w:r>
        <w:t xml:space="preserve">, </w:t>
      </w:r>
      <w:r>
        <w:rPr>
          <w:i/>
          <w:iCs/>
        </w:rPr>
        <w:t>78</w:t>
      </w:r>
      <w:r>
        <w:t>(8), 2675–2683.</w:t>
      </w:r>
    </w:p>
    <w:p w14:paraId="6A5B9DD0" w14:textId="77777777" w:rsidR="003F0E22" w:rsidRDefault="00000000">
      <w:pPr>
        <w:pStyle w:val="Bibliography"/>
      </w:pPr>
      <w:bookmarkStart w:id="103" w:name="ref-schindler2010"/>
      <w:bookmarkEnd w:id="102"/>
      <w:r>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57C2270D" w14:textId="77777777" w:rsidR="003F0E22" w:rsidRDefault="00000000">
      <w:pPr>
        <w:pStyle w:val="Bibliography"/>
      </w:pPr>
      <w:bookmarkStart w:id="104" w:name="ref-smith1981"/>
      <w:bookmarkEnd w:id="103"/>
      <w:r>
        <w:lastRenderedPageBreak/>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4E610C8B" w14:textId="77777777" w:rsidR="003F0E22" w:rsidRDefault="00000000">
      <w:pPr>
        <w:pStyle w:val="Bibliography"/>
      </w:pPr>
      <w:bookmarkStart w:id="105" w:name="ref-templeman1962"/>
      <w:bookmarkEnd w:id="104"/>
      <w:r>
        <w:t xml:space="preserve">Templeman, W. (1962). Divisions of cod stocks in the northwest atlantic. </w:t>
      </w:r>
      <w:r>
        <w:rPr>
          <w:i/>
          <w:iCs/>
        </w:rPr>
        <w:t>ICNAF Redbook</w:t>
      </w:r>
      <w:r>
        <w:t xml:space="preserve">, </w:t>
      </w:r>
      <w:r>
        <w:rPr>
          <w:i/>
          <w:iCs/>
        </w:rPr>
        <w:t>3</w:t>
      </w:r>
      <w:r>
        <w:t>, 79–123.</w:t>
      </w:r>
    </w:p>
    <w:p w14:paraId="7C2AFCC5" w14:textId="77777777" w:rsidR="003F0E22" w:rsidRDefault="00000000">
      <w:pPr>
        <w:pStyle w:val="Bibliography"/>
      </w:pPr>
      <w:bookmarkStart w:id="106" w:name="ref-thorson2020"/>
      <w:bookmarkEnd w:id="105"/>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18300E53" w14:textId="77777777" w:rsidR="003F0E22" w:rsidRDefault="00000000">
      <w:pPr>
        <w:pStyle w:val="Bibliography"/>
      </w:pPr>
      <w:bookmarkStart w:id="107" w:name="ref-volterra1926"/>
      <w:bookmarkEnd w:id="106"/>
      <w:r>
        <w:t xml:space="preserve">Volterra, V. (1926). Fluctuations in the abundance of a species considered mathematically. </w:t>
      </w:r>
      <w:r>
        <w:rPr>
          <w:i/>
          <w:iCs/>
        </w:rPr>
        <w:t>Nature</w:t>
      </w:r>
      <w:r>
        <w:t xml:space="preserve">, </w:t>
      </w:r>
      <w:r>
        <w:rPr>
          <w:i/>
          <w:iCs/>
        </w:rPr>
        <w:t>118</w:t>
      </w:r>
      <w:r>
        <w:t>(2972), 558–560.</w:t>
      </w:r>
    </w:p>
    <w:p w14:paraId="06A24A44" w14:textId="77777777" w:rsidR="003F0E22" w:rsidRDefault="00000000">
      <w:pPr>
        <w:pStyle w:val="Bibliography"/>
      </w:pPr>
      <w:bookmarkStart w:id="108" w:name="ref-walsh1992"/>
      <w:bookmarkEnd w:id="107"/>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1B07CA74" w14:textId="77777777" w:rsidR="003F0E22" w:rsidRDefault="00000000">
      <w:pPr>
        <w:pStyle w:val="Bibliography"/>
      </w:pPr>
      <w:bookmarkStart w:id="109" w:name="ref-winker2018"/>
      <w:bookmarkEnd w:id="108"/>
      <w:r>
        <w:t xml:space="preserve">Winker, H., Carvalho, F., &amp; Kapur, M. (2018). JABBA: Just another bayesian biomass assessment. </w:t>
      </w:r>
      <w:r>
        <w:rPr>
          <w:i/>
          <w:iCs/>
        </w:rPr>
        <w:t>Fisheries Research</w:t>
      </w:r>
      <w:r>
        <w:t xml:space="preserve">, </w:t>
      </w:r>
      <w:r>
        <w:rPr>
          <w:i/>
          <w:iCs/>
        </w:rPr>
        <w:t>204</w:t>
      </w:r>
      <w:r>
        <w:t>, 275–288.</w:t>
      </w:r>
    </w:p>
    <w:bookmarkEnd w:id="54"/>
    <w:bookmarkEnd w:id="109"/>
    <w:p w14:paraId="14EE7D04" w14:textId="77777777" w:rsidR="003F0E22" w:rsidRDefault="00000000">
      <w:r>
        <w:br w:type="page"/>
      </w:r>
    </w:p>
    <w:p w14:paraId="1C3EB0C3" w14:textId="77777777" w:rsidR="003F0E22" w:rsidRDefault="00000000">
      <w:pPr>
        <w:pStyle w:val="Heading1"/>
      </w:pPr>
      <w:bookmarkStart w:id="110" w:name="figures"/>
      <w:bookmarkEnd w:id="52"/>
      <w:r>
        <w:lastRenderedPageBreak/>
        <w:t>Figures</w:t>
      </w:r>
    </w:p>
    <w:p w14:paraId="2C0FE60F" w14:textId="77777777" w:rsidR="003F0E22" w:rsidRDefault="00000000">
      <w:pPr>
        <w:pStyle w:val="CaptionedFigure"/>
      </w:pPr>
      <w:r>
        <w:rPr>
          <w:noProof/>
        </w:rPr>
        <w:drawing>
          <wp:inline distT="0" distB="0" distL="0" distR="0" wp14:anchorId="67806AC7" wp14:editId="448D4F1A">
            <wp:extent cx="3599999" cy="4092857"/>
            <wp:effectExtent l="0" t="0" r="0" b="0"/>
            <wp:docPr id="101"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102" name="Picture" descr="C:/Users/RegularP/Documents/PROJECTS/multispic/analysis/paper/figures/epu_map.png"/>
                    <pic:cNvPicPr>
                      <a:picLocks noChangeAspect="1" noChangeArrowheads="1"/>
                    </pic:cNvPicPr>
                  </pic:nvPicPr>
                  <pic:blipFill>
                    <a:blip r:embed="rId17"/>
                    <a:stretch>
                      <a:fillRect/>
                    </a:stretch>
                  </pic:blipFill>
                  <pic:spPr bwMode="auto">
                    <a:xfrm>
                      <a:off x="0" y="0"/>
                      <a:ext cx="3599999" cy="4092857"/>
                    </a:xfrm>
                    <a:prstGeom prst="rect">
                      <a:avLst/>
                    </a:prstGeom>
                    <a:noFill/>
                    <a:ln w="9525">
                      <a:noFill/>
                      <a:headEnd/>
                      <a:tailEnd/>
                    </a:ln>
                  </pic:spPr>
                </pic:pic>
              </a:graphicData>
            </a:graphic>
          </wp:inline>
        </w:drawing>
      </w:r>
    </w:p>
    <w:p w14:paraId="78F99048" w14:textId="77777777" w:rsidR="003F0E22" w:rsidRDefault="00000000">
      <w:pPr>
        <w:pStyle w:val="ImageCaption"/>
      </w:pPr>
      <w:bookmarkStart w:id="111" w:name="fig:epu-map"/>
      <w:bookmarkEnd w:id="111"/>
      <w:r>
        <w:t>Fig 1: Map of Newfoundland and Labrador (NL) case study area showing the Northeast NL Shelf (purple), Grand Bank (green), and Southern NL (yellow) ecosystem production units.</w:t>
      </w:r>
    </w:p>
    <w:p w14:paraId="19211B43" w14:textId="77777777" w:rsidR="003F0E22" w:rsidRDefault="00000000">
      <w:pPr>
        <w:pStyle w:val="CaptionedFigure"/>
      </w:pPr>
      <w:r>
        <w:rPr>
          <w:noProof/>
        </w:rPr>
        <w:lastRenderedPageBreak/>
        <w:drawing>
          <wp:inline distT="0" distB="0" distL="0" distR="0" wp14:anchorId="7C20671E" wp14:editId="0220DF77">
            <wp:extent cx="5943600" cy="2773680"/>
            <wp:effectExtent l="0" t="0" r="0" b="0"/>
            <wp:docPr id="105"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106" name="Picture" descr="C:/Users/RegularP/Documents/PROJECTS/multispic/analysis/paper/figures/scores.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261F8B9E" w14:textId="77777777" w:rsidR="003F0E22" w:rsidRDefault="00000000">
      <w:pPr>
        <w:pStyle w:val="ImageCaption"/>
      </w:pPr>
      <w:bookmarkStart w:id="112" w:name="fig:scores"/>
      <w:bookmarkEnd w:id="112"/>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233C01AB" w14:textId="77777777" w:rsidR="003F0E22" w:rsidRDefault="00000000">
      <w:pPr>
        <w:pStyle w:val="CaptionedFigure"/>
      </w:pPr>
      <w:r>
        <w:rPr>
          <w:noProof/>
        </w:rPr>
        <w:lastRenderedPageBreak/>
        <w:drawing>
          <wp:inline distT="0" distB="0" distL="0" distR="0" wp14:anchorId="42298B8E" wp14:editId="4EDBB0B0">
            <wp:extent cx="5943600" cy="4160520"/>
            <wp:effectExtent l="0" t="0" r="0" b="0"/>
            <wp:docPr id="109"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10" name="Picture" descr="C:/Users/RegularP/Documents/PROJECTS/multispic/analysis/paper/figures/survey_trend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5018CBB8" w14:textId="77777777" w:rsidR="003F0E22" w:rsidRDefault="00000000">
      <w:pPr>
        <w:pStyle w:val="ImageCaption"/>
      </w:pPr>
      <w:bookmarkStart w:id="113" w:name="fig:survey-trends"/>
      <w:bookmarkEnd w:id="113"/>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624C4070" w14:textId="77777777" w:rsidR="003F0E22" w:rsidRDefault="00000000">
      <w:pPr>
        <w:pStyle w:val="CaptionedFigure"/>
      </w:pPr>
      <w:r>
        <w:rPr>
          <w:noProof/>
        </w:rPr>
        <w:lastRenderedPageBreak/>
        <w:drawing>
          <wp:inline distT="0" distB="0" distL="0" distR="0" wp14:anchorId="5D162235" wp14:editId="352B3607">
            <wp:extent cx="5943600" cy="4160520"/>
            <wp:effectExtent l="0" t="0" r="0" b="0"/>
            <wp:docPr id="11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14" name="Picture" descr="C:/Users/RegularP/Documents/PROJECTS/multispic/analysis/paper/figures/pop_trend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2250E66D" w14:textId="77777777" w:rsidR="003F0E22" w:rsidRDefault="00000000">
      <w:pPr>
        <w:pStyle w:val="ImageCaption"/>
      </w:pPr>
      <w:bookmarkStart w:id="114" w:name="fig:pop-trends"/>
      <w:bookmarkEnd w:id="114"/>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14A49FFE" w14:textId="77777777" w:rsidR="003F0E22" w:rsidRDefault="00000000">
      <w:pPr>
        <w:pStyle w:val="CaptionedFigure"/>
      </w:pPr>
      <w:r>
        <w:rPr>
          <w:noProof/>
        </w:rPr>
        <w:lastRenderedPageBreak/>
        <w:drawing>
          <wp:inline distT="0" distB="0" distL="0" distR="0" wp14:anchorId="55C47E29" wp14:editId="6E28E001">
            <wp:extent cx="5943600" cy="3200400"/>
            <wp:effectExtent l="0" t="0" r="0" b="0"/>
            <wp:docPr id="117"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18" name="Picture" descr="C:/Users/RegularP/Documents/PROJECTS/multispic/analysis/paper/figures/pe_cor.svg"/>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0A9A9630" w14:textId="77777777" w:rsidR="003F0E22" w:rsidRDefault="00000000">
      <w:pPr>
        <w:pStyle w:val="ImageCaption"/>
      </w:pPr>
      <w:bookmarkStart w:id="115" w:name="fig:pe-cor"/>
      <w:bookmarkEnd w:id="115"/>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110"/>
    </w:p>
    <w:sectPr w:rsidR="003F0E22" w:rsidSect="00E63332">
      <w:footerReference w:type="default" r:id="rId2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ideout, Rick" w:date="2023-11-30T12:40:00Z" w:initials="RR">
    <w:p w14:paraId="70541DB6" w14:textId="12211220" w:rsidR="00A73DB1" w:rsidRDefault="00A73DB1">
      <w:pPr>
        <w:pStyle w:val="CommentText"/>
      </w:pPr>
      <w:r>
        <w:rPr>
          <w:rStyle w:val="CommentReference"/>
        </w:rPr>
        <w:annotationRef/>
      </w:r>
      <w:r w:rsidR="00BE7D81">
        <w:t>Are we ok using the same symbol for stock K (eq. 3) as we are for system K (eq. 4)?</w:t>
      </w:r>
    </w:p>
  </w:comment>
  <w:comment w:id="4" w:author="Rideout, Rick" w:date="2023-11-30T12:38:00Z" w:initials="RR">
    <w:p w14:paraId="5D547460" w14:textId="7BFB3B20" w:rsidR="00A73DB1" w:rsidRPr="00974CD5" w:rsidRDefault="00A73DB1">
      <w:pPr>
        <w:pStyle w:val="CommentText"/>
      </w:pPr>
      <w:r>
        <w:rPr>
          <w:rStyle w:val="CommentReference"/>
        </w:rPr>
        <w:annotationRef/>
      </w:r>
      <w:r w:rsidRPr="00974CD5">
        <w:rPr>
          <w:lang w:val="fr-FR"/>
        </w:rPr>
        <w:t>Fix sentence structure</w:t>
      </w:r>
      <w:r w:rsidR="00974CD5" w:rsidRPr="00974CD5">
        <w:rPr>
          <w:lang w:val="fr-FR"/>
        </w:rPr>
        <w:t xml:space="preserve">. </w:t>
      </w:r>
      <w:r w:rsidR="00974CD5" w:rsidRPr="00974CD5">
        <w:t>On second look, maybe i</w:t>
      </w:r>
      <w:r w:rsidR="00974CD5">
        <w:t>t is just missing a comma after ‘errors’?</w:t>
      </w:r>
    </w:p>
  </w:comment>
  <w:comment w:id="5" w:author="Rideout, Rick" w:date="2023-11-30T14:26:00Z" w:initials="RR">
    <w:p w14:paraId="4600CA52" w14:textId="7E8719FD" w:rsidR="009339DD" w:rsidRDefault="009339DD">
      <w:pPr>
        <w:pStyle w:val="CommentText"/>
      </w:pPr>
      <w:r>
        <w:rPr>
          <w:rStyle w:val="CommentReference"/>
        </w:rPr>
        <w:annotationRef/>
      </w:r>
      <w:r>
        <w:t>S</w:t>
      </w:r>
      <w:r w:rsidR="00BE7D81">
        <w:t>ee my earlier comment about K stock vs. K system</w:t>
      </w:r>
      <w:r>
        <w:t>.</w:t>
      </w:r>
      <w:r w:rsidR="00B52E24">
        <w:t xml:space="preserve"> This is the first time we see Ks.</w:t>
      </w:r>
      <w:r>
        <w:t xml:space="preserve"> </w:t>
      </w:r>
    </w:p>
  </w:comment>
  <w:comment w:id="13" w:author="Rideout, Rick" w:date="2023-11-30T15:14:00Z" w:initials="RR">
    <w:p w14:paraId="4F050E2B" w14:textId="2B60B170" w:rsidR="00F55F74" w:rsidRDefault="00F55F74">
      <w:pPr>
        <w:pStyle w:val="CommentText"/>
      </w:pPr>
      <w:r>
        <w:rPr>
          <w:rStyle w:val="CommentReference"/>
        </w:rPr>
        <w:annotationRef/>
      </w:r>
      <w:r w:rsidR="008F0418">
        <w:t>I don’t think that it’s accurate to say that vessels changed in 1995, e.g. the WT was in use before and after that.</w:t>
      </w:r>
      <w:r w:rsidR="004C3DB2">
        <w:t xml:space="preserve"> Pointing out the gear change is likely enough.</w:t>
      </w:r>
    </w:p>
  </w:comment>
  <w:comment w:id="31" w:author="Rideout, Rick" w:date="2023-12-01T14:37:00Z" w:initials="RR">
    <w:p w14:paraId="3023AF27" w14:textId="0E9BFE01" w:rsidR="00615EB3" w:rsidRDefault="00615EB3">
      <w:pPr>
        <w:pStyle w:val="CommentText"/>
      </w:pPr>
      <w:r>
        <w:rPr>
          <w:rStyle w:val="CommentReference"/>
        </w:rPr>
        <w:annotationRef/>
      </w:r>
      <w:r>
        <w:t xml:space="preserve">By this do you mean catches being limited by </w:t>
      </w:r>
      <w:r w:rsidR="005670A7">
        <w:t>TAC?</w:t>
      </w:r>
    </w:p>
  </w:comment>
  <w:comment w:id="41" w:author="Rideout, Rick" w:date="2023-12-03T22:56:00Z" w:initials="RR">
    <w:p w14:paraId="7CEAC4F9" w14:textId="21AB3428" w:rsidR="002F439B" w:rsidRDefault="002F439B">
      <w:pPr>
        <w:pStyle w:val="CommentText"/>
      </w:pPr>
      <w:r>
        <w:rPr>
          <w:rStyle w:val="CommentReference"/>
        </w:rPr>
        <w:annotationRef/>
      </w:r>
      <w:r>
        <w:t>I have no problem with this but it’s possible someone could note differences in diet, etc. between species.</w:t>
      </w:r>
    </w:p>
  </w:comment>
  <w:comment w:id="42" w:author="Rideout, Rick" w:date="2023-12-03T23:07:00Z" w:initials="RR">
    <w:p w14:paraId="46AA15E0" w14:textId="5778195F" w:rsidR="00005C55" w:rsidRDefault="00005C55">
      <w:pPr>
        <w:pStyle w:val="CommentText"/>
      </w:pPr>
      <w:r>
        <w:rPr>
          <w:rStyle w:val="CommentReference"/>
        </w:rPr>
        <w:annotationRef/>
      </w:r>
      <w:r>
        <w:t>Might want to tweak the wording here a little since there is at least some more recent work that points the finger at environmental links.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541DB6" w15:done="0"/>
  <w15:commentEx w15:paraId="5D547460" w15:done="0"/>
  <w15:commentEx w15:paraId="4600CA52" w15:done="0"/>
  <w15:commentEx w15:paraId="4F050E2B" w15:done="0"/>
  <w15:commentEx w15:paraId="3023AF27" w15:done="0"/>
  <w15:commentEx w15:paraId="7CEAC4F9" w15:done="0"/>
  <w15:commentEx w15:paraId="46AA15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30126" w16cex:dateUtc="2023-11-30T16:10:00Z"/>
  <w16cex:commentExtensible w16cex:durableId="291300CD" w16cex:dateUtc="2023-11-30T16:08:00Z"/>
  <w16cex:commentExtensible w16cex:durableId="29131A00" w16cex:dateUtc="2023-11-30T17:56:00Z"/>
  <w16cex:commentExtensible w16cex:durableId="29132560" w16cex:dateUtc="2023-11-30T18:44:00Z"/>
  <w16cex:commentExtensible w16cex:durableId="29146E18" w16cex:dateUtc="2023-12-01T18:07:00Z"/>
  <w16cex:commentExtensible w16cex:durableId="29178601" w16cex:dateUtc="2023-12-04T02:26:00Z"/>
  <w16cex:commentExtensible w16cex:durableId="2917889A" w16cex:dateUtc="2023-12-04T0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541DB6" w16cid:durableId="29130126"/>
  <w16cid:commentId w16cid:paraId="5D547460" w16cid:durableId="291300CD"/>
  <w16cid:commentId w16cid:paraId="4600CA52" w16cid:durableId="29131A00"/>
  <w16cid:commentId w16cid:paraId="4F050E2B" w16cid:durableId="29132560"/>
  <w16cid:commentId w16cid:paraId="3023AF27" w16cid:durableId="29146E18"/>
  <w16cid:commentId w16cid:paraId="7CEAC4F9" w16cid:durableId="29178601"/>
  <w16cid:commentId w16cid:paraId="46AA15E0" w16cid:durableId="291788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128A3" w14:textId="77777777" w:rsidR="008C4DE9" w:rsidRDefault="008C4DE9">
      <w:pPr>
        <w:spacing w:after="0" w:line="240" w:lineRule="auto"/>
      </w:pPr>
      <w:r>
        <w:separator/>
      </w:r>
    </w:p>
  </w:endnote>
  <w:endnote w:type="continuationSeparator" w:id="0">
    <w:p w14:paraId="03322618" w14:textId="77777777" w:rsidR="008C4DE9" w:rsidRDefault="008C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2330F2BD" w14:textId="77777777" w:rsidR="00E6333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DD0CAF" w14:textId="77777777" w:rsidR="00E6333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5094C" w14:textId="77777777" w:rsidR="008C4DE9" w:rsidRDefault="008C4DE9">
      <w:r>
        <w:separator/>
      </w:r>
    </w:p>
  </w:footnote>
  <w:footnote w:type="continuationSeparator" w:id="0">
    <w:p w14:paraId="117C2947" w14:textId="77777777" w:rsidR="008C4DE9" w:rsidRDefault="008C4D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4FAAE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376710732">
    <w:abstractNumId w:val="11"/>
  </w:num>
  <w:num w:numId="2" w16cid:durableId="521632170">
    <w:abstractNumId w:val="11"/>
  </w:num>
  <w:num w:numId="3" w16cid:durableId="33578212">
    <w:abstractNumId w:val="9"/>
  </w:num>
  <w:num w:numId="4" w16cid:durableId="284777658">
    <w:abstractNumId w:val="7"/>
  </w:num>
  <w:num w:numId="5" w16cid:durableId="1370760615">
    <w:abstractNumId w:val="6"/>
  </w:num>
  <w:num w:numId="6" w16cid:durableId="1125349755">
    <w:abstractNumId w:val="5"/>
  </w:num>
  <w:num w:numId="7" w16cid:durableId="1678380343">
    <w:abstractNumId w:val="4"/>
  </w:num>
  <w:num w:numId="8" w16cid:durableId="416171381">
    <w:abstractNumId w:val="8"/>
  </w:num>
  <w:num w:numId="9" w16cid:durableId="1255825682">
    <w:abstractNumId w:val="3"/>
  </w:num>
  <w:num w:numId="10" w16cid:durableId="4943492">
    <w:abstractNumId w:val="2"/>
  </w:num>
  <w:num w:numId="11" w16cid:durableId="138768896">
    <w:abstractNumId w:val="1"/>
  </w:num>
  <w:num w:numId="12" w16cid:durableId="1229730609">
    <w:abstractNumId w:val="0"/>
  </w:num>
  <w:num w:numId="13" w16cid:durableId="93659626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deout, Rick">
    <w15:presenceInfo w15:providerId="AD" w15:userId="S::Rick.Rideout@dfo-mpo.gc.ca::e67cade2-feb0-4b9e-9f25-47c779e75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E22"/>
    <w:rsid w:val="00005C55"/>
    <w:rsid w:val="00296DB0"/>
    <w:rsid w:val="002B1A10"/>
    <w:rsid w:val="002F439B"/>
    <w:rsid w:val="003F0E22"/>
    <w:rsid w:val="00444274"/>
    <w:rsid w:val="004C3DB2"/>
    <w:rsid w:val="00546F9D"/>
    <w:rsid w:val="005670A7"/>
    <w:rsid w:val="00615EB3"/>
    <w:rsid w:val="00653133"/>
    <w:rsid w:val="008C4DE9"/>
    <w:rsid w:val="008D10CC"/>
    <w:rsid w:val="008F0418"/>
    <w:rsid w:val="009339DD"/>
    <w:rsid w:val="00974CD5"/>
    <w:rsid w:val="00A260DC"/>
    <w:rsid w:val="00A73DB1"/>
    <w:rsid w:val="00B52E24"/>
    <w:rsid w:val="00B66605"/>
    <w:rsid w:val="00B7148D"/>
    <w:rsid w:val="00BE7D81"/>
    <w:rsid w:val="00E809C7"/>
    <w:rsid w:val="00F27096"/>
    <w:rsid w:val="00F55F74"/>
    <w:rsid w:val="00F7608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2F7DC"/>
  <w15:docId w15:val="{94B4D701-45E4-4BDA-B0CE-8C1964C5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character" w:styleId="CommentReference">
    <w:name w:val="annotation reference"/>
    <w:basedOn w:val="DefaultParagraphFont"/>
    <w:semiHidden/>
    <w:unhideWhenUsed/>
    <w:rsid w:val="00296DB0"/>
    <w:rPr>
      <w:sz w:val="16"/>
      <w:szCs w:val="16"/>
    </w:rPr>
  </w:style>
  <w:style w:type="paragraph" w:styleId="CommentText">
    <w:name w:val="annotation text"/>
    <w:basedOn w:val="Normal"/>
    <w:link w:val="CommentTextChar"/>
    <w:semiHidden/>
    <w:unhideWhenUsed/>
    <w:rsid w:val="00296DB0"/>
    <w:pPr>
      <w:spacing w:line="240" w:lineRule="auto"/>
    </w:pPr>
    <w:rPr>
      <w:sz w:val="20"/>
      <w:szCs w:val="20"/>
    </w:rPr>
  </w:style>
  <w:style w:type="character" w:customStyle="1" w:styleId="CommentTextChar">
    <w:name w:val="Comment Text Char"/>
    <w:basedOn w:val="DefaultParagraphFont"/>
    <w:link w:val="CommentText"/>
    <w:semiHidden/>
    <w:rsid w:val="00296DB0"/>
    <w:rPr>
      <w:sz w:val="20"/>
      <w:szCs w:val="20"/>
    </w:rPr>
  </w:style>
  <w:style w:type="paragraph" w:styleId="CommentSubject">
    <w:name w:val="annotation subject"/>
    <w:basedOn w:val="CommentText"/>
    <w:next w:val="CommentText"/>
    <w:link w:val="CommentSubjectChar"/>
    <w:semiHidden/>
    <w:unhideWhenUsed/>
    <w:rsid w:val="00296DB0"/>
    <w:rPr>
      <w:b/>
      <w:bCs/>
    </w:rPr>
  </w:style>
  <w:style w:type="character" w:customStyle="1" w:styleId="CommentSubjectChar">
    <w:name w:val="Comment Subject Char"/>
    <w:basedOn w:val="CommentTextChar"/>
    <w:link w:val="CommentSubject"/>
    <w:semiHidden/>
    <w:rsid w:val="00296DB0"/>
    <w:rPr>
      <w:b/>
      <w:bCs/>
      <w:sz w:val="20"/>
      <w:szCs w:val="20"/>
    </w:rPr>
  </w:style>
  <w:style w:type="paragraph" w:styleId="Revision">
    <w:name w:val="Revision"/>
    <w:hidden/>
    <w:semiHidden/>
    <w:rsid w:val="008D10CC"/>
    <w:pPr>
      <w:spacing w:after="0" w:line="240" w:lineRule="auto"/>
    </w:pPr>
  </w:style>
  <w:style w:type="character" w:styleId="FollowedHyperlink">
    <w:name w:val="FollowedHyperlink"/>
    <w:basedOn w:val="DefaultParagraphFont"/>
    <w:rsid w:val="004442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18637/jss.v070.i05"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5.svgz"/><Relationship Id="rId7" Type="http://schemas.openxmlformats.org/officeDocument/2006/relationships/hyperlink" Target="mailto:Paul.Regular@dfo-mpo.gc.ca" TargetMode="External"/><Relationship Id="rId12" Type="http://schemas.openxmlformats.org/officeDocument/2006/relationships/hyperlink" Target="https://www.nafo.int/Data/STATLANT-21A" TargetMode="External"/><Relationship Id="rId17" Type="http://schemas.openxmlformats.org/officeDocument/2006/relationships/image" Target="media/image1.png"/><Relationship Id="rId25" Type="http://schemas.openxmlformats.org/officeDocument/2006/relationships/image" Target="media/image9.svgz"/><Relationship Id="rId2" Type="http://schemas.openxmlformats.org/officeDocument/2006/relationships/styles" Target="styles.xml"/><Relationship Id="rId16" Type="http://schemas.openxmlformats.org/officeDocument/2006/relationships/hyperlink" Target="https://doi.org/10.1016/j.fishres.2021.106180"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ww.R-project.org/" TargetMode="External"/><Relationship Id="rId23" Type="http://schemas.openxmlformats.org/officeDocument/2006/relationships/image" Target="media/image7.svgz"/><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svgz"/><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nafo.int/Portals/0/PDFs/sc/2019/scs19-20.pdf"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7</TotalTime>
  <Pages>37</Pages>
  <Words>9077</Words>
  <Characters>51745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60701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 Mariano Koen-Alonso, M. Joanne Morgan, Pierre Pepin, Rick M. Rideout</dc:creator>
  <cp:keywords/>
  <cp:lastModifiedBy>Rideout, Rick</cp:lastModifiedBy>
  <cp:revision>2</cp:revision>
  <dcterms:created xsi:type="dcterms:W3CDTF">2023-12-04T03:25:00Z</dcterms:created>
  <dcterms:modified xsi:type="dcterms:W3CDTF">2023-12-04T03:25:00Z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Fisheries and Oceans Canada, Northwest Atlantic Fisheries Center, 80 East White Hills, St. John’s, Newfoundland and Labrador, A1C 5X1, Canada  *Corresponding author E-mail: Paul.Regular@dfo-mpo.gc.ca  2023-11-29</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